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99" w14:textId="77777777" w:rsidR="003D033B" w:rsidRPr="003D1B76" w:rsidRDefault="003D033B" w:rsidP="005E292F">
      <w:pPr>
        <w:jc w:val="both"/>
        <w:rPr>
          <w:rFonts w:ascii="Verdana" w:hAnsi="Verdana"/>
          <w:sz w:val="2"/>
        </w:rPr>
      </w:pPr>
    </w:p>
    <w:p w14:paraId="6F3C64B2" w14:textId="77777777" w:rsidR="005C09D5" w:rsidRPr="003D1B76" w:rsidRDefault="005C09D5" w:rsidP="005E292F">
      <w:pPr>
        <w:jc w:val="both"/>
        <w:rPr>
          <w:rFonts w:ascii="Verdana" w:hAnsi="Verdana"/>
          <w:sz w:val="2"/>
        </w:rPr>
      </w:pPr>
    </w:p>
    <w:p w14:paraId="501F0369" w14:textId="77777777" w:rsidR="00770BD5" w:rsidRPr="003D1B76" w:rsidRDefault="00770BD5" w:rsidP="005E292F">
      <w:pPr>
        <w:jc w:val="both"/>
        <w:rPr>
          <w:rFonts w:ascii="Verdana" w:hAnsi="Verdana"/>
          <w:sz w:val="10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3D1B76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Órgãos/Setores Participantes:</w:t>
            </w:r>
          </w:p>
          <w:p w14:paraId="5DE4234F" w14:textId="5A13CB1C" w:rsidR="00CB7ABE" w:rsidRPr="007F53BB" w:rsidRDefault="007F53BB" w:rsidP="005E292F">
            <w:pPr>
              <w:spacing w:after="60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7F53BB">
              <w:rPr>
                <w:rFonts w:ascii="Verdana" w:hAnsi="Verdana" w:cs="Arial"/>
                <w:b/>
                <w:bCs/>
                <w:sz w:val="18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Cs w:val="24"/>
              </w:rPr>
            </w:pPr>
            <w:r w:rsidRPr="003D1B76">
              <w:rPr>
                <w:rFonts w:ascii="Verdana" w:hAnsi="Verdana" w:cs="Arial"/>
                <w:szCs w:val="24"/>
              </w:rPr>
              <w:t>Telefone:</w:t>
            </w:r>
          </w:p>
          <w:p w14:paraId="62DEEBE5" w14:textId="77777777" w:rsidR="00CB7ABE" w:rsidRPr="003D1B76" w:rsidRDefault="00CB7ABE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  <w:szCs w:val="24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3D1B76" w:rsidRDefault="00CB7ABE" w:rsidP="005E292F">
            <w:pPr>
              <w:spacing w:before="60"/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Organizador:</w:t>
            </w:r>
          </w:p>
          <w:p w14:paraId="06E6F1C3" w14:textId="1BD6D390" w:rsidR="00CB7ABE" w:rsidRPr="003D1B76" w:rsidRDefault="007F53BB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szCs w:val="24"/>
              </w:rPr>
              <w:t>NELBER DA SILVA MARTINS</w:t>
            </w:r>
          </w:p>
        </w:tc>
      </w:tr>
      <w:tr w:rsidR="003D1B76" w:rsidRPr="003D1B76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Local:</w:t>
            </w:r>
          </w:p>
          <w:p w14:paraId="1341A9A4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915B259" w14:textId="684E02C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b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Sala:</w:t>
            </w:r>
          </w:p>
          <w:p w14:paraId="0E98D8E9" w14:textId="7892A889" w:rsidR="00713AB7" w:rsidRPr="003D1B76" w:rsidRDefault="00713AB7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SUPAM</w:t>
            </w:r>
            <w:r w:rsidR="001C17A1">
              <w:rPr>
                <w:rFonts w:ascii="Verdana" w:hAnsi="Verdana" w:cs="Arial"/>
                <w:b/>
              </w:rPr>
              <w:t>, Ed.</w:t>
            </w:r>
            <w:r w:rsidRPr="003D1B76">
              <w:rPr>
                <w:rFonts w:ascii="Verdana" w:hAnsi="Verdana" w:cs="Arial"/>
                <w:b/>
              </w:rPr>
              <w:t xml:space="preserve"> Fábio </w:t>
            </w:r>
            <w:proofErr w:type="spellStart"/>
            <w:r w:rsidRPr="003D1B76">
              <w:rPr>
                <w:rFonts w:ascii="Verdana" w:hAnsi="Verdana" w:cs="Arial"/>
                <w:b/>
              </w:rPr>
              <w:t>Ruschi</w:t>
            </w:r>
            <w:proofErr w:type="spellEnd"/>
            <w:r w:rsidRPr="003D1B76">
              <w:rPr>
                <w:rFonts w:ascii="Verdana" w:hAnsi="Verdana" w:cs="Arial"/>
                <w:b/>
              </w:rPr>
              <w:t xml:space="preserve">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Horário:</w:t>
            </w:r>
          </w:p>
          <w:p w14:paraId="01D87A1C" w14:textId="77777777" w:rsidR="00713AB7" w:rsidRPr="003D1B76" w:rsidRDefault="00713AB7" w:rsidP="005E292F">
            <w:pPr>
              <w:jc w:val="both"/>
              <w:rPr>
                <w:rFonts w:ascii="Verdana" w:hAnsi="Verdana" w:cs="Arial"/>
                <w:bCs/>
                <w:sz w:val="6"/>
                <w:szCs w:val="6"/>
              </w:rPr>
            </w:pPr>
          </w:p>
          <w:p w14:paraId="68D14296" w14:textId="39A9B4F9" w:rsidR="00713AB7" w:rsidRPr="003D1B76" w:rsidRDefault="007F2497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14</w:t>
            </w:r>
            <w:r w:rsidR="00C2179D">
              <w:rPr>
                <w:rFonts w:ascii="Verdana" w:hAnsi="Verdana" w:cs="Arial"/>
                <w:b/>
              </w:rPr>
              <w:t>h</w:t>
            </w:r>
            <w:r w:rsidR="003E1D00">
              <w:rPr>
                <w:rFonts w:ascii="Verdana" w:hAnsi="Verdana" w:cs="Arial"/>
                <w:b/>
              </w:rPr>
              <w:t>00</w:t>
            </w:r>
            <w:r w:rsidR="00713AB7" w:rsidRPr="003D1B76">
              <w:rPr>
                <w:rFonts w:ascii="Verdana" w:hAnsi="Verdana" w:cs="Arial"/>
                <w:b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3D1B76" w:rsidRDefault="00713AB7" w:rsidP="005E292F">
            <w:pPr>
              <w:jc w:val="both"/>
              <w:rPr>
                <w:rFonts w:ascii="Verdana" w:hAnsi="Verdana" w:cs="Arial"/>
                <w:sz w:val="18"/>
              </w:rPr>
            </w:pPr>
            <w:r w:rsidRPr="003D1B76">
              <w:rPr>
                <w:rFonts w:ascii="Verdana" w:hAnsi="Verdana" w:cs="Arial"/>
                <w:sz w:val="18"/>
              </w:rPr>
              <w:t>Duração:</w:t>
            </w:r>
          </w:p>
          <w:p w14:paraId="4394B846" w14:textId="0690D79E" w:rsidR="00713AB7" w:rsidRPr="003D1B76" w:rsidRDefault="007F3F41" w:rsidP="005E29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</w:t>
            </w:r>
            <w:r w:rsidR="00C2179D">
              <w:rPr>
                <w:rFonts w:ascii="Verdana" w:hAnsi="Verdana" w:cs="Arial"/>
                <w:b/>
              </w:rPr>
              <w:t xml:space="preserve"> </w:t>
            </w:r>
            <w:r w:rsidR="00713AB7" w:rsidRPr="003D1B76">
              <w:rPr>
                <w:rFonts w:ascii="Verdana" w:hAnsi="Verdana" w:cs="Arial"/>
                <w:b/>
              </w:rPr>
              <w:t>hora</w:t>
            </w:r>
            <w:r w:rsidR="00794C5B">
              <w:rPr>
                <w:rFonts w:ascii="Verdana" w:hAnsi="Verdana" w:cs="Arial"/>
                <w:b/>
              </w:rPr>
              <w:t>s</w:t>
            </w:r>
          </w:p>
        </w:tc>
      </w:tr>
      <w:tr w:rsidR="003D1B76" w:rsidRPr="003D1B76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3D1B76" w:rsidRDefault="00CB7ABE" w:rsidP="005E292F">
            <w:pPr>
              <w:jc w:val="both"/>
              <w:rPr>
                <w:rFonts w:ascii="Verdana" w:hAnsi="Verdana" w:cs="Arial"/>
                <w:bCs/>
                <w:sz w:val="18"/>
              </w:rPr>
            </w:pPr>
            <w:r w:rsidRPr="003D1B76">
              <w:rPr>
                <w:rFonts w:ascii="Verdana" w:hAnsi="Verdana" w:cs="Arial"/>
                <w:bCs/>
                <w:sz w:val="18"/>
              </w:rPr>
              <w:t>ASSUNTO:</w:t>
            </w:r>
            <w:r w:rsidRPr="003D1B76">
              <w:rPr>
                <w:rFonts w:ascii="Verdana" w:hAnsi="Verdana" w:cs="Arial"/>
                <w:sz w:val="18"/>
              </w:rPr>
              <w:t xml:space="preserve"> </w:t>
            </w:r>
          </w:p>
          <w:p w14:paraId="398606C1" w14:textId="2B158FDE" w:rsidR="00CB7ABE" w:rsidRPr="003D1B76" w:rsidRDefault="00B275D2" w:rsidP="005E292F">
            <w:pPr>
              <w:spacing w:after="60"/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 xml:space="preserve">RESULTADO </w:t>
            </w:r>
            <w:r w:rsidR="00726474" w:rsidRPr="003D1B76">
              <w:rPr>
                <w:rFonts w:ascii="Verdana" w:hAnsi="Verdana" w:cs="Arial"/>
                <w:b/>
              </w:rPr>
              <w:t xml:space="preserve">DE HABILITAÇÃO AO </w:t>
            </w:r>
            <w:r w:rsidR="00CB7ABE" w:rsidRPr="003D1B76">
              <w:rPr>
                <w:rFonts w:ascii="Verdana" w:hAnsi="Verdana" w:cs="Arial"/>
                <w:b/>
              </w:rPr>
              <w:t>EDITAL DE CREDENCIAMENTO 001/202</w:t>
            </w:r>
            <w:r w:rsidR="007F53BB">
              <w:rPr>
                <w:rFonts w:ascii="Verdana" w:hAnsi="Verdana" w:cs="Arial"/>
                <w:b/>
              </w:rPr>
              <w:t>4</w:t>
            </w:r>
          </w:p>
        </w:tc>
      </w:tr>
      <w:tr w:rsidR="003D1B76" w:rsidRPr="003D1B76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3D1B76" w:rsidRDefault="007F53BB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3D1B76" w:rsidRDefault="00DE2D08" w:rsidP="005E292F">
            <w:pPr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1B76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</w:tr>
      <w:tr w:rsidR="003D1B76" w:rsidRPr="003D1B76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3D1B76" w:rsidRDefault="0075375C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C12A32" w:rsidRPr="0072031E">
                <w:rPr>
                  <w:rStyle w:val="Hyperlink"/>
                </w:rPr>
                <w:t>nelber.martins@seger.es.gov.br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3D1B76" w:rsidRDefault="0075375C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C12A32" w:rsidRPr="00CF4CC4">
                <w:rPr>
                  <w:rStyle w:val="Hyperlink"/>
                </w:rPr>
                <w:t>sandro.costa</w:t>
              </w:r>
              <w:r w:rsidR="00C12A32" w:rsidRPr="00CF4CC4">
                <w:rPr>
                  <w:rStyle w:val="Hyperlink"/>
                  <w:rFonts w:ascii="Arial" w:hAnsi="Arial" w:cs="Arial"/>
                  <w:sz w:val="16"/>
                  <w:szCs w:val="16"/>
                </w:rPr>
                <w:t>@seger.es.gov.br</w:t>
              </w:r>
            </w:hyperlink>
            <w:r w:rsidR="00C12A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D1B76" w:rsidRPr="003D1B76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3D1B76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D1B76">
              <w:rPr>
                <w:rFonts w:ascii="Arial" w:hAnsi="Arial" w:cs="Arial"/>
                <w:sz w:val="16"/>
                <w:szCs w:val="16"/>
              </w:rPr>
              <w:t xml:space="preserve">Membro da 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3D1B76">
              <w:rPr>
                <w:rFonts w:ascii="Arial" w:hAnsi="Arial" w:cs="Arial"/>
                <w:sz w:val="16"/>
                <w:szCs w:val="16"/>
              </w:rPr>
              <w:t>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3D1B76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3D1B76" w:rsidRDefault="0075375C" w:rsidP="005E292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72031E" w:rsidRPr="0072031E">
                <w:rPr>
                  <w:rStyle w:val="Hyperlink"/>
                </w:rPr>
                <w:t>wander.marreiro@seger.es.gov.br</w:t>
              </w:r>
            </w:hyperlink>
            <w:r w:rsidR="00C12A32" w:rsidRPr="0072031E">
              <w:rPr>
                <w:rStyle w:val="Hyperlink"/>
              </w:rPr>
              <w:t xml:space="preserve"> </w:t>
            </w:r>
          </w:p>
        </w:tc>
      </w:tr>
      <w:tr w:rsidR="003D1B76" w:rsidRPr="003D1B76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3D1B76" w:rsidRDefault="0075618B" w:rsidP="005E292F">
            <w:pPr>
              <w:jc w:val="both"/>
              <w:rPr>
                <w:rFonts w:ascii="Verdana" w:hAnsi="Verdana" w:cs="Arial"/>
                <w:b/>
              </w:rPr>
            </w:pPr>
            <w:r w:rsidRPr="003D1B76">
              <w:rPr>
                <w:rFonts w:ascii="Verdana" w:hAnsi="Verdana" w:cs="Arial"/>
                <w:b/>
              </w:rPr>
              <w:t>DESENVOLVIMENTO DA REUNIÃO</w:t>
            </w:r>
          </w:p>
        </w:tc>
      </w:tr>
      <w:tr w:rsidR="003D1B76" w:rsidRPr="003D1B76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31650273" w14:textId="5C7EAB13" w:rsidR="00477834" w:rsidRPr="003D1B76" w:rsidRDefault="00477834" w:rsidP="005E292F">
            <w:pPr>
              <w:spacing w:line="312" w:lineRule="auto"/>
              <w:ind w:left="142" w:right="14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6BBAF75" w14:textId="7AD834A9" w:rsidR="00B275D2" w:rsidRPr="00DA2AE1" w:rsidRDefault="00B275D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AE1">
              <w:rPr>
                <w:rFonts w:ascii="Arial" w:hAnsi="Arial" w:cs="Arial"/>
                <w:sz w:val="24"/>
                <w:szCs w:val="24"/>
              </w:rPr>
              <w:t>Após análise d</w:t>
            </w:r>
            <w:r w:rsidR="00DE2D08" w:rsidRPr="00DA2AE1">
              <w:rPr>
                <w:rFonts w:ascii="Arial" w:hAnsi="Arial" w:cs="Arial"/>
                <w:sz w:val="24"/>
                <w:szCs w:val="24"/>
              </w:rPr>
              <w:t>a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 documentaç</w:t>
            </w:r>
            <w:r w:rsidR="0045173D" w:rsidRPr="00DA2AE1">
              <w:rPr>
                <w:rFonts w:ascii="Arial" w:hAnsi="Arial" w:cs="Arial"/>
                <w:sz w:val="24"/>
                <w:szCs w:val="24"/>
              </w:rPr>
              <w:t>ão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 apresentada</w:t>
            </w:r>
            <w:r w:rsidR="0045173D" w:rsidRPr="00DA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2AE1">
              <w:rPr>
                <w:rFonts w:ascii="Arial" w:hAnsi="Arial" w:cs="Arial"/>
                <w:sz w:val="24"/>
                <w:szCs w:val="24"/>
              </w:rPr>
              <w:t>ao Edital de Credenciamento 01/202</w:t>
            </w:r>
            <w:r w:rsidR="0072031E" w:rsidRPr="00DA2AE1">
              <w:rPr>
                <w:rFonts w:ascii="Arial" w:hAnsi="Arial" w:cs="Arial"/>
                <w:sz w:val="24"/>
                <w:szCs w:val="24"/>
              </w:rPr>
              <w:t>4</w:t>
            </w:r>
            <w:r w:rsidR="00713AB7" w:rsidRPr="00DA2AE1">
              <w:rPr>
                <w:rFonts w:ascii="Arial" w:hAnsi="Arial" w:cs="Arial"/>
                <w:sz w:val="24"/>
                <w:szCs w:val="24"/>
              </w:rPr>
              <w:t>,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31E" w:rsidRPr="00DA2AE1">
              <w:rPr>
                <w:rFonts w:ascii="Arial" w:hAnsi="Arial" w:cs="Arial"/>
                <w:sz w:val="24"/>
                <w:szCs w:val="24"/>
              </w:rPr>
              <w:t>por meio do sistema E-</w:t>
            </w:r>
            <w:proofErr w:type="spellStart"/>
            <w:r w:rsidR="0072031E" w:rsidRPr="00DA2AE1">
              <w:rPr>
                <w:rFonts w:ascii="Arial" w:hAnsi="Arial" w:cs="Arial"/>
                <w:sz w:val="24"/>
                <w:szCs w:val="24"/>
              </w:rPr>
              <w:t>docs</w:t>
            </w:r>
            <w:proofErr w:type="spellEnd"/>
            <w:r w:rsidR="0072031E" w:rsidRPr="00DA2AE1">
              <w:rPr>
                <w:rFonts w:ascii="Arial" w:hAnsi="Arial" w:cs="Arial"/>
                <w:sz w:val="24"/>
                <w:szCs w:val="24"/>
              </w:rPr>
              <w:t xml:space="preserve">, documento </w:t>
            </w:r>
            <w:r w:rsidR="00902981" w:rsidRPr="00902981">
              <w:rPr>
                <w:rFonts w:ascii="Arial" w:hAnsi="Arial" w:cs="Arial"/>
                <w:b/>
                <w:bCs/>
                <w:sz w:val="24"/>
                <w:szCs w:val="24"/>
              </w:rPr>
              <w:t>2024-KPVTZ4</w:t>
            </w:r>
            <w:r w:rsidR="0072031E" w:rsidRPr="00DA2AE1">
              <w:rPr>
                <w:rFonts w:ascii="Arial" w:hAnsi="Arial" w:cs="Arial"/>
                <w:sz w:val="24"/>
                <w:szCs w:val="24"/>
              </w:rPr>
              <w:t>, o Agente de Contratação e respectiva Equipe de Apoio</w:t>
            </w:r>
            <w:r w:rsidR="00A329EE" w:rsidRPr="00DA2AE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031E" w:rsidRPr="00DA2AE1">
              <w:rPr>
                <w:rFonts w:ascii="Arial" w:hAnsi="Arial" w:cs="Arial"/>
                <w:sz w:val="24"/>
                <w:szCs w:val="24"/>
              </w:rPr>
              <w:t xml:space="preserve">subscritos </w:t>
            </w:r>
            <w:r w:rsidR="00133472" w:rsidRPr="00DA2AE1">
              <w:rPr>
                <w:rFonts w:ascii="Arial" w:hAnsi="Arial" w:cs="Arial"/>
                <w:sz w:val="24"/>
                <w:szCs w:val="24"/>
              </w:rPr>
              <w:t>nesta</w:t>
            </w:r>
            <w:r w:rsidR="0072031E" w:rsidRPr="00DA2AE1">
              <w:rPr>
                <w:rFonts w:ascii="Arial" w:hAnsi="Arial" w:cs="Arial"/>
                <w:sz w:val="24"/>
                <w:szCs w:val="24"/>
              </w:rPr>
              <w:t xml:space="preserve"> ata, </w:t>
            </w:r>
            <w:r w:rsidR="008907D5" w:rsidRPr="00DA2AE1">
              <w:rPr>
                <w:rFonts w:ascii="Arial" w:hAnsi="Arial" w:cs="Arial"/>
                <w:sz w:val="24"/>
                <w:szCs w:val="24"/>
              </w:rPr>
              <w:t>procederam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9D" w:rsidRPr="00DA2AE1">
              <w:rPr>
                <w:rFonts w:ascii="Arial" w:hAnsi="Arial" w:cs="Arial"/>
                <w:sz w:val="24"/>
                <w:szCs w:val="24"/>
              </w:rPr>
              <w:t>ao</w:t>
            </w:r>
            <w:r w:rsidRPr="00DA2AE1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 w:rsidR="00187251" w:rsidRPr="00DA2AE1">
              <w:rPr>
                <w:rFonts w:ascii="Arial" w:hAnsi="Arial" w:cs="Arial"/>
                <w:sz w:val="24"/>
                <w:szCs w:val="24"/>
              </w:rPr>
              <w:t xml:space="preserve"> do requerimento de credenciamento ao edital em referência</w:t>
            </w:r>
            <w:r w:rsidR="008908F0" w:rsidRPr="00DA2AE1">
              <w:rPr>
                <w:rFonts w:ascii="Arial" w:hAnsi="Arial" w:cs="Arial"/>
                <w:sz w:val="24"/>
                <w:szCs w:val="24"/>
              </w:rPr>
              <w:t>, com o seguinte r</w:t>
            </w:r>
            <w:r w:rsidRPr="00DA2AE1">
              <w:rPr>
                <w:rFonts w:ascii="Arial" w:hAnsi="Arial" w:cs="Arial"/>
                <w:sz w:val="24"/>
                <w:szCs w:val="24"/>
              </w:rPr>
              <w:t>esultado</w:t>
            </w:r>
            <w:r w:rsidR="008908F0" w:rsidRPr="00DA2AE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9362E" w14:textId="77777777" w:rsidR="00251292" w:rsidRPr="00DA2AE1" w:rsidRDefault="0025129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AB1B4" w14:textId="57C15F06" w:rsidR="00B275D2" w:rsidRPr="00DA2AE1" w:rsidRDefault="00733979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INDEFERIDO.</w:t>
            </w:r>
          </w:p>
          <w:p w14:paraId="34268B71" w14:textId="77777777" w:rsidR="00A329EE" w:rsidRPr="00DA2AE1" w:rsidRDefault="00A329EE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02CEA" w14:textId="286B6A63" w:rsidR="00A329EE" w:rsidRPr="00DA2AE1" w:rsidRDefault="00740D69" w:rsidP="006C5C44">
            <w:pPr>
              <w:pStyle w:val="PargrafodaLista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AE1">
              <w:rPr>
                <w:rFonts w:ascii="Arial" w:hAnsi="Arial" w:cs="Arial"/>
                <w:b/>
                <w:bCs/>
                <w:sz w:val="24"/>
                <w:szCs w:val="24"/>
              </w:rPr>
              <w:t>ALEXSANDER PRETTI DOMINGOS</w:t>
            </w:r>
            <w:r w:rsidR="00CF47CE" w:rsidRPr="00DA2AE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42C2B8" w14:textId="56ECFFB8" w:rsidR="008908F0" w:rsidRPr="00DA2AE1" w:rsidRDefault="008908F0" w:rsidP="00206F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EDDA14" w14:textId="77777777" w:rsidR="00125CBB" w:rsidRDefault="00950678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diligência solicitou ao requerente a complementação de documentação faltante exigida pelo edital e </w:t>
            </w:r>
            <w:r w:rsidR="003245F9">
              <w:rPr>
                <w:rFonts w:ascii="Arial" w:hAnsi="Arial" w:cs="Arial"/>
                <w:sz w:val="24"/>
                <w:szCs w:val="24"/>
              </w:rPr>
              <w:t>não encaminhada no requerimento inicialmente formulado</w:t>
            </w:r>
            <w:r w:rsidR="003151D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25CBB">
              <w:rPr>
                <w:rFonts w:ascii="Arial" w:hAnsi="Arial" w:cs="Arial"/>
                <w:sz w:val="24"/>
                <w:szCs w:val="24"/>
              </w:rPr>
              <w:t>como segue</w:t>
            </w:r>
            <w:r w:rsidR="003151D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52DD958" w14:textId="77777777" w:rsidR="00125CBB" w:rsidRDefault="00125CBB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2217CE" w14:textId="229FFF95" w:rsidR="00125CBB" w:rsidRPr="00DD1C07" w:rsidRDefault="00125CBB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1C07">
              <w:rPr>
                <w:rFonts w:ascii="Arial" w:hAnsi="Arial" w:cs="Arial"/>
                <w:b/>
                <w:bCs/>
                <w:sz w:val="24"/>
                <w:szCs w:val="24"/>
              </w:rPr>
              <w:t>Documentos solicitados:</w:t>
            </w:r>
          </w:p>
          <w:p w14:paraId="6F1CAB0D" w14:textId="39DB0D35" w:rsidR="00125CBB" w:rsidRDefault="00125CBB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966AEB" w14:textId="1C7D4807" w:rsidR="00125CBB" w:rsidRDefault="00125CBB" w:rsidP="00125CBB">
            <w:pPr>
              <w:pStyle w:val="PargrafodaLista"/>
              <w:numPr>
                <w:ilvl w:val="0"/>
                <w:numId w:val="13"/>
              </w:num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Cadastro Mobiliário relativo ao domicílio ou sede do licitante;</w:t>
            </w:r>
          </w:p>
          <w:p w14:paraId="0D4103F8" w14:textId="77777777" w:rsidR="000C7335" w:rsidRDefault="000C7335" w:rsidP="000C7335">
            <w:pPr>
              <w:pStyle w:val="PargrafodaLista"/>
              <w:tabs>
                <w:tab w:val="left" w:pos="1230"/>
              </w:tabs>
              <w:spacing w:after="120"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99C8E2" w14:textId="0C08568B" w:rsidR="00950678" w:rsidRDefault="003B0A68" w:rsidP="006C5C44">
            <w:pPr>
              <w:pStyle w:val="PargrafodaLista"/>
              <w:numPr>
                <w:ilvl w:val="0"/>
                <w:numId w:val="13"/>
              </w:num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3151D0" w:rsidRPr="00125CBB">
              <w:rPr>
                <w:rFonts w:ascii="Arial" w:hAnsi="Arial" w:cs="Arial"/>
                <w:sz w:val="24"/>
                <w:szCs w:val="24"/>
              </w:rPr>
              <w:t xml:space="preserve">testado de capacidade técnica que informe o total de lotes </w:t>
            </w:r>
            <w:r w:rsidR="003151D0" w:rsidRPr="00125CBB">
              <w:rPr>
                <w:rFonts w:ascii="Arial" w:hAnsi="Arial" w:cs="Arial"/>
                <w:b/>
                <w:bCs/>
                <w:sz w:val="24"/>
                <w:szCs w:val="24"/>
              </w:rPr>
              <w:t>arrematados</w:t>
            </w:r>
            <w:r w:rsidR="003151D0" w:rsidRPr="00125CBB">
              <w:rPr>
                <w:rFonts w:ascii="Arial" w:hAnsi="Arial" w:cs="Arial"/>
                <w:sz w:val="24"/>
                <w:szCs w:val="24"/>
              </w:rPr>
              <w:t>, não apenas o total de lotes anunciados</w:t>
            </w:r>
            <w:r w:rsidR="00496990" w:rsidRPr="00125CBB">
              <w:rPr>
                <w:rFonts w:ascii="Arial" w:hAnsi="Arial" w:cs="Arial"/>
                <w:sz w:val="24"/>
                <w:szCs w:val="24"/>
              </w:rPr>
              <w:t>, como foi encaminhado no documento apresentado no primeiro rol de documentos apresentados</w:t>
            </w:r>
            <w:r w:rsidR="0002100B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147F2E0" w14:textId="77777777" w:rsidR="005B6491" w:rsidRDefault="005B6491" w:rsidP="00A64D49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EEF6F6" w14:textId="67FBC881" w:rsidR="00A64D49" w:rsidRDefault="00A64D49" w:rsidP="00A64D49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sua vez, em resposta à solicitação dos documentos acima, o requerente apresentou, os documentos abaixo arrolados:</w:t>
            </w:r>
          </w:p>
          <w:p w14:paraId="7C0F71A3" w14:textId="77777777" w:rsidR="000C7335" w:rsidRDefault="000C7335" w:rsidP="00A64D49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C0D495" w14:textId="77777777" w:rsidR="000C7335" w:rsidRDefault="000C7335" w:rsidP="00A64D49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07CEFA" w14:textId="77777777" w:rsidR="000C7335" w:rsidRDefault="000C7335" w:rsidP="00A64D49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1FAECE" w14:textId="5AA82E5F" w:rsidR="00A64D49" w:rsidRPr="00A64D49" w:rsidRDefault="00A64D49" w:rsidP="00A64D49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4D49">
              <w:rPr>
                <w:rFonts w:ascii="Arial" w:hAnsi="Arial" w:cs="Arial"/>
                <w:b/>
                <w:bCs/>
                <w:sz w:val="24"/>
                <w:szCs w:val="24"/>
              </w:rPr>
              <w:t>Documentos enviados:</w:t>
            </w:r>
          </w:p>
          <w:p w14:paraId="18BD4D28" w14:textId="449B7DA7" w:rsidR="003151D0" w:rsidRPr="00154EF4" w:rsidRDefault="00E42C72" w:rsidP="00154EF4">
            <w:pPr>
              <w:pStyle w:val="PargrafodaLista"/>
              <w:numPr>
                <w:ilvl w:val="0"/>
                <w:numId w:val="14"/>
              </w:num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4EF4">
              <w:rPr>
                <w:rFonts w:ascii="Arial" w:hAnsi="Arial" w:cs="Arial"/>
                <w:sz w:val="24"/>
                <w:szCs w:val="24"/>
              </w:rPr>
              <w:t xml:space="preserve">Certidão de Casamento – </w:t>
            </w:r>
            <w:r w:rsidR="00492193">
              <w:rPr>
                <w:rFonts w:ascii="Arial" w:hAnsi="Arial" w:cs="Arial"/>
                <w:sz w:val="24"/>
                <w:szCs w:val="24"/>
              </w:rPr>
              <w:t>incondizente com a documentação solicitada</w:t>
            </w:r>
            <w:r w:rsidRPr="00154EF4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6C56176" w14:textId="007DB260" w:rsidR="00E42C72" w:rsidRDefault="00E42C72" w:rsidP="00154EF4">
            <w:pPr>
              <w:pStyle w:val="PargrafodaLista"/>
              <w:numPr>
                <w:ilvl w:val="0"/>
                <w:numId w:val="14"/>
              </w:num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4EF4">
              <w:rPr>
                <w:rFonts w:ascii="Arial" w:hAnsi="Arial" w:cs="Arial"/>
                <w:sz w:val="24"/>
                <w:szCs w:val="24"/>
              </w:rPr>
              <w:t>Cópia da Carteira Nacional de Habilitação de sua esposa –</w:t>
            </w:r>
            <w:r w:rsidR="00400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2193">
              <w:rPr>
                <w:rFonts w:ascii="Arial" w:hAnsi="Arial" w:cs="Arial"/>
                <w:sz w:val="24"/>
                <w:szCs w:val="24"/>
              </w:rPr>
              <w:t>incondizente com a documentação solicitada</w:t>
            </w:r>
            <w:r w:rsidRPr="00154EF4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6A3FF83D" w14:textId="7738EF63" w:rsidR="00333492" w:rsidRDefault="00FE4C5C" w:rsidP="00154EF4">
            <w:pPr>
              <w:pStyle w:val="PargrafodaLista"/>
              <w:numPr>
                <w:ilvl w:val="0"/>
                <w:numId w:val="14"/>
              </w:num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Comprovante de endereço</w:t>
            </w:r>
            <w:r w:rsidR="00400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01D1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2193">
              <w:rPr>
                <w:rFonts w:ascii="Arial" w:hAnsi="Arial" w:cs="Arial"/>
                <w:sz w:val="24"/>
                <w:szCs w:val="24"/>
              </w:rPr>
              <w:t>incondizente com a documentação solicitada</w:t>
            </w:r>
            <w:r w:rsidR="00325FA9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253BB13" w14:textId="0B8223B7" w:rsidR="00DE47B5" w:rsidRDefault="00DE47B5" w:rsidP="00202AFD">
            <w:pPr>
              <w:pStyle w:val="PargrafodaLista"/>
              <w:numPr>
                <w:ilvl w:val="0"/>
                <w:numId w:val="14"/>
              </w:num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20587">
              <w:rPr>
                <w:rFonts w:ascii="Arial" w:hAnsi="Arial" w:cs="Arial"/>
                <w:sz w:val="24"/>
                <w:szCs w:val="24"/>
              </w:rPr>
              <w:t xml:space="preserve">Documento de Arrecadação Municipal, respeitante </w:t>
            </w:r>
            <w:r w:rsidR="00D65C94" w:rsidRPr="00720587">
              <w:rPr>
                <w:rFonts w:ascii="Arial" w:hAnsi="Arial" w:cs="Arial"/>
                <w:sz w:val="24"/>
                <w:szCs w:val="24"/>
              </w:rPr>
              <w:t xml:space="preserve">ao cadastro </w:t>
            </w:r>
            <w:r w:rsidR="00D65C94" w:rsidRPr="00720587">
              <w:rPr>
                <w:rFonts w:ascii="Arial" w:hAnsi="Arial" w:cs="Arial"/>
                <w:b/>
                <w:bCs/>
                <w:sz w:val="24"/>
                <w:szCs w:val="24"/>
              </w:rPr>
              <w:t>imobiliário</w:t>
            </w:r>
            <w:r w:rsidR="00D65C94" w:rsidRPr="00720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0B15" w:rsidRPr="00720587">
              <w:rPr>
                <w:rFonts w:ascii="Arial" w:hAnsi="Arial" w:cs="Arial"/>
                <w:sz w:val="24"/>
                <w:szCs w:val="24"/>
              </w:rPr>
              <w:t>municipal</w:t>
            </w:r>
            <w:r w:rsidR="00AD07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4954" w:rsidRPr="00720587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D65C94" w:rsidRPr="007205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B4954" w:rsidRPr="00720587">
              <w:rPr>
                <w:rFonts w:ascii="Arial" w:hAnsi="Arial" w:cs="Arial"/>
                <w:sz w:val="24"/>
                <w:szCs w:val="24"/>
              </w:rPr>
              <w:t xml:space="preserve">cuja validação pode ser efetuada pelo e-mail </w:t>
            </w:r>
            <w:hyperlink r:id="rId11" w:history="1">
              <w:r w:rsidR="00720587" w:rsidRPr="00720587">
                <w:rPr>
                  <w:rStyle w:val="Hyperlink"/>
                  <w:rFonts w:ascii="Arial" w:hAnsi="Arial" w:cs="Arial"/>
                  <w:sz w:val="24"/>
                  <w:szCs w:val="24"/>
                </w:rPr>
                <w:t>iptucolatina@gmail.com</w:t>
              </w:r>
            </w:hyperlink>
            <w:r w:rsidR="00720587" w:rsidRPr="00720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7BB8">
              <w:rPr>
                <w:rFonts w:ascii="Arial" w:hAnsi="Arial" w:cs="Arial"/>
                <w:sz w:val="24"/>
                <w:szCs w:val="24"/>
              </w:rPr>
              <w:t>–</w:t>
            </w:r>
            <w:r w:rsidR="00720587" w:rsidRPr="007205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2193">
              <w:rPr>
                <w:rFonts w:ascii="Arial" w:hAnsi="Arial" w:cs="Arial"/>
                <w:sz w:val="24"/>
                <w:szCs w:val="24"/>
              </w:rPr>
              <w:t>incondizente com a documentação solicitada</w:t>
            </w:r>
            <w:r w:rsidR="00720587" w:rsidRPr="00720587">
              <w:rPr>
                <w:rFonts w:ascii="Arial" w:hAnsi="Arial" w:cs="Arial"/>
                <w:sz w:val="24"/>
                <w:szCs w:val="24"/>
              </w:rPr>
              <w:t>;</w:t>
            </w:r>
            <w:r w:rsidR="00D65C94" w:rsidRPr="007205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1C52CE" w14:textId="2920D2A2" w:rsidR="00C97831" w:rsidRDefault="00C97831" w:rsidP="00C97831">
            <w:pPr>
              <w:pStyle w:val="PargrafodaLista"/>
              <w:numPr>
                <w:ilvl w:val="0"/>
                <w:numId w:val="14"/>
              </w:num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Documentos pessoais da mãe de sua esposa </w:t>
            </w:r>
            <w:r w:rsidR="009E180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2193">
              <w:rPr>
                <w:rFonts w:ascii="Arial" w:hAnsi="Arial" w:cs="Arial"/>
                <w:sz w:val="24"/>
                <w:szCs w:val="24"/>
              </w:rPr>
              <w:t>incondizente com a documentação solicitada</w:t>
            </w:r>
            <w:r w:rsidRPr="00720587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14:paraId="4F2CA8F7" w14:textId="5A14595B" w:rsidR="002D01D1" w:rsidRPr="00325FA9" w:rsidRDefault="00325FA9" w:rsidP="00154EF4">
            <w:pPr>
              <w:pStyle w:val="PargrafodaLista"/>
              <w:numPr>
                <w:ilvl w:val="0"/>
                <w:numId w:val="14"/>
              </w:num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Declaração contendo os seguintes dizeres,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verbis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>:</w:t>
            </w:r>
          </w:p>
          <w:p w14:paraId="59B4CBAD" w14:textId="7FB3E78B" w:rsidR="00325FA9" w:rsidRDefault="00325FA9" w:rsidP="00325FA9">
            <w:pPr>
              <w:tabs>
                <w:tab w:val="left" w:pos="1230"/>
              </w:tabs>
              <w:spacing w:after="120"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B25EC2" w14:textId="2E7A1B9B" w:rsidR="00325FA9" w:rsidRDefault="00325FA9" w:rsidP="00C12019">
            <w:pPr>
              <w:spacing w:after="120" w:line="276" w:lineRule="auto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E27">
              <w:rPr>
                <w:rFonts w:ascii="Arial" w:hAnsi="Arial" w:cs="Arial"/>
                <w:sz w:val="22"/>
                <w:szCs w:val="22"/>
              </w:rPr>
              <w:t>“(qualificação) ... declaro, para os devidos fins, atendendo a solicitação da Comissão de Credenciamento 001/2024 SEGER/GEMOB, que o modelo de Atestado de Capacidade Técnica apresentado é o que nos foi enviado pelo Comitente, Exército Brasileiro e que não há como editarem outro.”</w:t>
            </w:r>
          </w:p>
          <w:p w14:paraId="1D81DEF4" w14:textId="1A5301B9" w:rsidR="00902981" w:rsidRDefault="00902981" w:rsidP="008021F8">
            <w:pPr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162EA6" w14:textId="713C63F2" w:rsidR="009A2BA7" w:rsidRDefault="00325FA9" w:rsidP="00A14791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Portanto, </w:t>
            </w:r>
            <w:r w:rsidR="00A14791">
              <w:rPr>
                <w:rFonts w:ascii="Arial" w:hAnsi="Arial" w:cs="Arial"/>
                <w:sz w:val="24"/>
                <w:szCs w:val="24"/>
              </w:rPr>
              <w:t>em síntese</w:t>
            </w:r>
            <w:r w:rsidR="00C35F3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42FE2">
              <w:rPr>
                <w:rFonts w:ascii="Arial" w:hAnsi="Arial" w:cs="Arial"/>
                <w:sz w:val="24"/>
                <w:szCs w:val="24"/>
              </w:rPr>
              <w:t xml:space="preserve">todos os documentos encaminhados pelo requerente remetem a duas circunstâncias: a) </w:t>
            </w:r>
            <w:r w:rsidR="004059B6">
              <w:rPr>
                <w:rFonts w:ascii="Arial" w:hAnsi="Arial" w:cs="Arial"/>
                <w:sz w:val="24"/>
                <w:szCs w:val="24"/>
              </w:rPr>
              <w:t>não são condizentes com a documentação solicitada</w:t>
            </w:r>
            <w:r w:rsidR="00542FE2">
              <w:rPr>
                <w:rFonts w:ascii="Arial" w:hAnsi="Arial" w:cs="Arial"/>
                <w:sz w:val="24"/>
                <w:szCs w:val="24"/>
              </w:rPr>
              <w:t>; b) negativa de apresentação de documento que comprovasse</w:t>
            </w:r>
            <w:r w:rsidR="00C35F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2FE2">
              <w:rPr>
                <w:rFonts w:ascii="Arial" w:hAnsi="Arial" w:cs="Arial"/>
                <w:sz w:val="24"/>
                <w:szCs w:val="24"/>
              </w:rPr>
              <w:t>quantos</w:t>
            </w:r>
            <w:r w:rsidR="00C35F31">
              <w:rPr>
                <w:rFonts w:ascii="Arial" w:hAnsi="Arial" w:cs="Arial"/>
                <w:sz w:val="24"/>
                <w:szCs w:val="24"/>
              </w:rPr>
              <w:t xml:space="preserve"> lotes efetivamente </w:t>
            </w:r>
            <w:r w:rsidR="00C35F31" w:rsidRPr="00C35F31">
              <w:rPr>
                <w:rFonts w:ascii="Arial" w:hAnsi="Arial" w:cs="Arial"/>
                <w:b/>
                <w:bCs/>
                <w:sz w:val="24"/>
                <w:szCs w:val="24"/>
              </w:rPr>
              <w:t>arrematados</w:t>
            </w:r>
            <w:r w:rsidR="00450BB5" w:rsidRPr="00450BB5">
              <w:rPr>
                <w:rFonts w:ascii="Arial" w:hAnsi="Arial" w:cs="Arial"/>
                <w:sz w:val="24"/>
                <w:szCs w:val="24"/>
              </w:rPr>
              <w:t>,</w:t>
            </w:r>
            <w:r w:rsidR="00C35F31">
              <w:rPr>
                <w:rFonts w:ascii="Arial" w:hAnsi="Arial" w:cs="Arial"/>
                <w:sz w:val="24"/>
                <w:szCs w:val="24"/>
              </w:rPr>
              <w:t xml:space="preserve"> referente</w:t>
            </w:r>
            <w:r w:rsidR="00542FE2">
              <w:rPr>
                <w:rFonts w:ascii="Arial" w:hAnsi="Arial" w:cs="Arial"/>
                <w:sz w:val="24"/>
                <w:szCs w:val="24"/>
              </w:rPr>
              <w:t>s</w:t>
            </w:r>
            <w:r w:rsidR="00C35F31">
              <w:rPr>
                <w:rFonts w:ascii="Arial" w:hAnsi="Arial" w:cs="Arial"/>
                <w:sz w:val="24"/>
                <w:szCs w:val="24"/>
              </w:rPr>
              <w:t xml:space="preserve"> ao atestado inicialmente apresentado, na forma expressamente exigida pelo Edital de Credenciamento 001/2024, </w:t>
            </w:r>
            <w:r w:rsidR="00C35F31" w:rsidRPr="00C70D53">
              <w:rPr>
                <w:rFonts w:ascii="Arial" w:hAnsi="Arial" w:cs="Arial"/>
                <w:i/>
                <w:iCs/>
                <w:sz w:val="24"/>
                <w:szCs w:val="24"/>
              </w:rPr>
              <w:t>foi negada pelo requerente</w:t>
            </w:r>
            <w:r w:rsidR="00C35F31">
              <w:rPr>
                <w:rFonts w:ascii="Arial" w:hAnsi="Arial" w:cs="Arial"/>
                <w:sz w:val="24"/>
                <w:szCs w:val="24"/>
              </w:rPr>
              <w:t>, pelas razões por ele mesmo declaradas</w:t>
            </w:r>
            <w:r w:rsidR="00C70D5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01EB0B" w14:textId="3DBF2BDD" w:rsidR="00AE62CA" w:rsidRDefault="00AE62CA" w:rsidP="00325FA9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sua vez, o Edital em apreço assim dispõe:</w:t>
            </w:r>
          </w:p>
          <w:p w14:paraId="6A029F37" w14:textId="18FA5202" w:rsidR="00AE62CA" w:rsidRPr="00AE62CA" w:rsidRDefault="00AE62CA" w:rsidP="00AE62C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62CA">
              <w:rPr>
                <w:rFonts w:ascii="Arial" w:hAnsi="Arial" w:cs="Arial"/>
                <w:sz w:val="22"/>
                <w:szCs w:val="22"/>
              </w:rPr>
              <w:t>O Agente de Contratação e respectiva equipe de apoio verificarão se os documentos apresentados cumprem os requisitos de habilitação jurídica, regularidade fiscal e trabalhista, e qualificação técnica, declarando o proponente habilitado, em caso positivo.</w:t>
            </w:r>
          </w:p>
          <w:p w14:paraId="2DD6E24D" w14:textId="6AFA6B4C" w:rsidR="009A2BA7" w:rsidRDefault="009A2BA7" w:rsidP="00325FA9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Portanto, </w:t>
            </w:r>
            <w:r w:rsidR="00735629">
              <w:rPr>
                <w:rFonts w:ascii="Arial" w:hAnsi="Arial" w:cs="Arial"/>
                <w:sz w:val="24"/>
                <w:szCs w:val="24"/>
              </w:rPr>
              <w:t xml:space="preserve">não tendo enviado o Cadastro </w:t>
            </w:r>
            <w:r w:rsidR="00735629" w:rsidRPr="007562A9">
              <w:rPr>
                <w:rFonts w:ascii="Arial" w:hAnsi="Arial" w:cs="Arial"/>
                <w:b/>
                <w:bCs/>
                <w:sz w:val="24"/>
                <w:szCs w:val="24"/>
              </w:rPr>
              <w:t>Mobiliário</w:t>
            </w:r>
            <w:r w:rsidR="00735629">
              <w:rPr>
                <w:rFonts w:ascii="Arial" w:hAnsi="Arial" w:cs="Arial"/>
                <w:sz w:val="24"/>
                <w:szCs w:val="24"/>
              </w:rPr>
              <w:t xml:space="preserve"> Municipal, bem como </w:t>
            </w:r>
            <w:r w:rsidR="00C13EE3">
              <w:rPr>
                <w:rFonts w:ascii="Arial" w:hAnsi="Arial" w:cs="Arial"/>
                <w:sz w:val="24"/>
                <w:szCs w:val="24"/>
              </w:rPr>
              <w:t>tendo</w:t>
            </w:r>
            <w:r w:rsidR="007562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3EE3">
              <w:rPr>
                <w:rFonts w:ascii="Arial" w:hAnsi="Arial" w:cs="Arial"/>
                <w:sz w:val="24"/>
                <w:szCs w:val="24"/>
              </w:rPr>
              <w:t xml:space="preserve">se negado ao envio </w:t>
            </w:r>
            <w:r w:rsidR="00735629">
              <w:rPr>
                <w:rFonts w:ascii="Arial" w:hAnsi="Arial" w:cs="Arial"/>
                <w:sz w:val="24"/>
                <w:szCs w:val="24"/>
              </w:rPr>
              <w:t xml:space="preserve">da comprovação de lotes </w:t>
            </w:r>
            <w:r w:rsidR="00735629" w:rsidRPr="00A66D4B">
              <w:rPr>
                <w:rFonts w:ascii="Arial" w:hAnsi="Arial" w:cs="Arial"/>
                <w:b/>
                <w:bCs/>
                <w:sz w:val="24"/>
                <w:szCs w:val="24"/>
              </w:rPr>
              <w:t>arrematados</w:t>
            </w:r>
            <w:r w:rsidR="007537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5375C">
              <w:rPr>
                <w:rFonts w:ascii="Arial" w:hAnsi="Arial" w:cs="Arial"/>
                <w:sz w:val="24"/>
                <w:szCs w:val="24"/>
              </w:rPr>
              <w:t>no leilão de referência</w:t>
            </w:r>
            <w:r>
              <w:rPr>
                <w:rFonts w:ascii="Arial" w:hAnsi="Arial" w:cs="Arial"/>
                <w:sz w:val="24"/>
                <w:szCs w:val="24"/>
              </w:rPr>
              <w:t xml:space="preserve">, conclui-se pelo </w:t>
            </w:r>
            <w:r w:rsidRPr="00A66D4B">
              <w:rPr>
                <w:rFonts w:ascii="Arial" w:hAnsi="Arial" w:cs="Arial"/>
                <w:b/>
                <w:bCs/>
                <w:sz w:val="24"/>
                <w:szCs w:val="24"/>
              </w:rPr>
              <w:t>INDEFERIMENTO</w:t>
            </w:r>
            <w:r>
              <w:rPr>
                <w:rFonts w:ascii="Arial" w:hAnsi="Arial" w:cs="Arial"/>
                <w:sz w:val="24"/>
                <w:szCs w:val="24"/>
              </w:rPr>
              <w:t xml:space="preserve"> do requerimento de habilitação ao Edital de Credenciamento 001/2024, pela constatação</w:t>
            </w:r>
            <w:r w:rsidR="00DC609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objetiva</w:t>
            </w:r>
            <w:r w:rsidR="00DC609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7064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não atendimento do envio </w:t>
            </w:r>
            <w:r w:rsidR="003829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ambos os documentos </w:t>
            </w:r>
            <w:r w:rsidR="003865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exigidos para habilitação ao </w:t>
            </w:r>
            <w:r w:rsidR="007847B2" w:rsidRPr="007847B2">
              <w:rPr>
                <w:rFonts w:ascii="Arial" w:hAnsi="Arial" w:cs="Arial"/>
                <w:b/>
                <w:bCs/>
                <w:sz w:val="24"/>
                <w:szCs w:val="24"/>
              </w:rPr>
              <w:t>Edital de Credenciamento de Leiloeiros de Bens Móveis 001/2024</w:t>
            </w:r>
            <w:r w:rsidR="00586939">
              <w:rPr>
                <w:rFonts w:ascii="Arial" w:hAnsi="Arial" w:cs="Arial"/>
                <w:b/>
                <w:bCs/>
                <w:sz w:val="24"/>
                <w:szCs w:val="24"/>
              </w:rPr>
              <w:t>, mesmo após a reiteração da solicitação de ambos os documentos em caráter de diligência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C4748DC" w14:textId="23F33AF2" w:rsidR="00EE1E0A" w:rsidRDefault="00C826FA" w:rsidP="00325FA9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Por sua vez, o Edital de Credenciamento de Leiloeiros de Bens Móveis 001/2024 tem por objeto a contratação de serviços de leiloaria, cuja </w:t>
            </w:r>
            <w:r w:rsidR="007064B5">
              <w:rPr>
                <w:rFonts w:ascii="Arial" w:hAnsi="Arial" w:cs="Arial"/>
                <w:sz w:val="24"/>
                <w:szCs w:val="24"/>
              </w:rPr>
              <w:t>natureza</w:t>
            </w:r>
            <w:r>
              <w:rPr>
                <w:rFonts w:ascii="Arial" w:hAnsi="Arial" w:cs="Arial"/>
                <w:sz w:val="24"/>
                <w:szCs w:val="24"/>
              </w:rPr>
              <w:t xml:space="preserve"> contempla uma quantidade </w:t>
            </w:r>
            <w:r w:rsidR="007210E7">
              <w:rPr>
                <w:rFonts w:ascii="Arial" w:hAnsi="Arial" w:cs="Arial"/>
                <w:sz w:val="24"/>
                <w:szCs w:val="24"/>
              </w:rPr>
              <w:t>hercúlea</w:t>
            </w:r>
            <w:r>
              <w:rPr>
                <w:rFonts w:ascii="Arial" w:hAnsi="Arial" w:cs="Arial"/>
                <w:sz w:val="24"/>
                <w:szCs w:val="24"/>
              </w:rPr>
              <w:t xml:space="preserve"> de providências de emissão, manuseio e conferência </w:t>
            </w:r>
            <w:r w:rsidR="007064B5">
              <w:rPr>
                <w:rFonts w:ascii="Arial" w:hAnsi="Arial" w:cs="Arial"/>
                <w:sz w:val="24"/>
                <w:szCs w:val="24"/>
              </w:rPr>
              <w:t xml:space="preserve">de documentos públicos, documentos civis, bem como ainda a expedição de </w:t>
            </w:r>
            <w:r w:rsidR="00EE1E0A">
              <w:rPr>
                <w:rFonts w:ascii="Arial" w:hAnsi="Arial" w:cs="Arial"/>
                <w:sz w:val="24"/>
                <w:szCs w:val="24"/>
              </w:rPr>
              <w:t>orientações</w:t>
            </w:r>
            <w:r w:rsidR="007064B5">
              <w:rPr>
                <w:rFonts w:ascii="Arial" w:hAnsi="Arial" w:cs="Arial"/>
                <w:sz w:val="24"/>
                <w:szCs w:val="24"/>
              </w:rPr>
              <w:t xml:space="preserve"> aos licitantes sobre a</w:t>
            </w:r>
            <w:r w:rsidR="00EE1E0A">
              <w:rPr>
                <w:rFonts w:ascii="Arial" w:hAnsi="Arial" w:cs="Arial"/>
                <w:sz w:val="24"/>
                <w:szCs w:val="24"/>
              </w:rPr>
              <w:t xml:space="preserve"> celebração de negócios jurídicos de compra e venda, com toda a documentação </w:t>
            </w:r>
            <w:r w:rsidR="00BB15CC">
              <w:rPr>
                <w:rFonts w:ascii="Arial" w:hAnsi="Arial" w:cs="Arial"/>
                <w:sz w:val="24"/>
                <w:szCs w:val="24"/>
              </w:rPr>
              <w:t xml:space="preserve">e informações </w:t>
            </w:r>
            <w:r w:rsidR="00EE1E0A">
              <w:rPr>
                <w:rFonts w:ascii="Arial" w:hAnsi="Arial" w:cs="Arial"/>
                <w:sz w:val="24"/>
                <w:szCs w:val="24"/>
              </w:rPr>
              <w:t xml:space="preserve">de suporte, transferências de cadastros no DETRAN, Capitania dos Portos, etc. </w:t>
            </w:r>
            <w:r w:rsidR="007210E7">
              <w:rPr>
                <w:rFonts w:ascii="Arial" w:hAnsi="Arial" w:cs="Arial"/>
                <w:sz w:val="24"/>
                <w:szCs w:val="24"/>
              </w:rPr>
              <w:t>O cumprimento de tais providências e sua verificação por parte do leiloeiro destina-se a permitir a</w:t>
            </w:r>
            <w:r w:rsidR="0075375C">
              <w:rPr>
                <w:rFonts w:ascii="Arial" w:hAnsi="Arial" w:cs="Arial"/>
                <w:sz w:val="24"/>
                <w:szCs w:val="24"/>
              </w:rPr>
              <w:t>o</w:t>
            </w:r>
            <w:r w:rsidR="007210E7">
              <w:rPr>
                <w:rFonts w:ascii="Arial" w:hAnsi="Arial" w:cs="Arial"/>
                <w:sz w:val="24"/>
                <w:szCs w:val="24"/>
              </w:rPr>
              <w:t xml:space="preserve"> arrematante a retirada dos bens arrematados, inclusive </w:t>
            </w:r>
            <w:r w:rsidR="007210E7">
              <w:rPr>
                <w:rFonts w:ascii="Arial" w:hAnsi="Arial" w:cs="Arial"/>
                <w:sz w:val="24"/>
                <w:szCs w:val="24"/>
              </w:rPr>
              <w:lastRenderedPageBreak/>
              <w:t xml:space="preserve">bens de valor representativo, como veículos, sucatas de computadores e de ares condicionados, embarcações, </w:t>
            </w:r>
            <w:r w:rsidR="00015620">
              <w:rPr>
                <w:rFonts w:ascii="Arial" w:hAnsi="Arial" w:cs="Arial"/>
                <w:sz w:val="24"/>
                <w:szCs w:val="24"/>
              </w:rPr>
              <w:t xml:space="preserve">equipamentos industriais, </w:t>
            </w:r>
            <w:r w:rsidR="007210E7">
              <w:rPr>
                <w:rFonts w:ascii="Arial" w:hAnsi="Arial" w:cs="Arial"/>
                <w:sz w:val="24"/>
                <w:szCs w:val="24"/>
              </w:rPr>
              <w:t>etc.</w:t>
            </w:r>
          </w:p>
          <w:p w14:paraId="42951379" w14:textId="5850F6EA" w:rsidR="00EE1E0A" w:rsidRDefault="00EE1E0A" w:rsidP="00325FA9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 que demonstrar</w:t>
            </w:r>
            <w:r w:rsidR="00B93797">
              <w:rPr>
                <w:rFonts w:ascii="Arial" w:hAnsi="Arial" w:cs="Arial"/>
                <w:sz w:val="24"/>
                <w:szCs w:val="24"/>
              </w:rPr>
              <w:t>, objetivamente,</w:t>
            </w:r>
            <w:r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="00BB15CC">
              <w:rPr>
                <w:rFonts w:ascii="Arial" w:hAnsi="Arial" w:cs="Arial"/>
                <w:sz w:val="24"/>
                <w:szCs w:val="24"/>
              </w:rPr>
              <w:t xml:space="preserve">a fundamentação acima </w:t>
            </w:r>
            <w:r>
              <w:rPr>
                <w:rFonts w:ascii="Arial" w:hAnsi="Arial" w:cs="Arial"/>
                <w:sz w:val="24"/>
                <w:szCs w:val="24"/>
              </w:rPr>
              <w:t>não se trata de mera conjectura</w:t>
            </w:r>
            <w:r w:rsidR="00B07B2B">
              <w:rPr>
                <w:rFonts w:ascii="Arial" w:hAnsi="Arial" w:cs="Arial"/>
                <w:sz w:val="24"/>
                <w:szCs w:val="24"/>
              </w:rPr>
              <w:t xml:space="preserve"> desta análise</w:t>
            </w:r>
            <w:r>
              <w:rPr>
                <w:rFonts w:ascii="Arial" w:hAnsi="Arial" w:cs="Arial"/>
                <w:sz w:val="24"/>
                <w:szCs w:val="24"/>
              </w:rPr>
              <w:t>, seguem excertos extraídos diretamente do edital</w:t>
            </w:r>
            <w:r w:rsidR="009538EF">
              <w:rPr>
                <w:rFonts w:ascii="Arial" w:hAnsi="Arial" w:cs="Arial"/>
                <w:sz w:val="24"/>
                <w:szCs w:val="24"/>
              </w:rPr>
              <w:t xml:space="preserve"> em questão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853D2">
              <w:rPr>
                <w:rFonts w:ascii="Arial" w:hAnsi="Arial" w:cs="Arial"/>
                <w:sz w:val="24"/>
                <w:szCs w:val="24"/>
              </w:rPr>
              <w:t>descrevendo</w:t>
            </w:r>
            <w:r>
              <w:rPr>
                <w:rFonts w:ascii="Arial" w:hAnsi="Arial" w:cs="Arial"/>
                <w:sz w:val="24"/>
                <w:szCs w:val="24"/>
              </w:rPr>
              <w:t xml:space="preserve"> os serviços contemplados pela contratação almejada</w:t>
            </w:r>
            <w:r w:rsidR="00B93797">
              <w:rPr>
                <w:rFonts w:ascii="Arial" w:hAnsi="Arial" w:cs="Arial"/>
                <w:sz w:val="24"/>
                <w:szCs w:val="24"/>
              </w:rPr>
              <w:t>,</w:t>
            </w:r>
            <w:r w:rsidR="00013954">
              <w:rPr>
                <w:rFonts w:ascii="Arial" w:hAnsi="Arial" w:cs="Arial"/>
                <w:sz w:val="24"/>
                <w:szCs w:val="24"/>
              </w:rPr>
              <w:t xml:space="preserve"> uma quantidade </w:t>
            </w:r>
            <w:r w:rsidR="00353718">
              <w:rPr>
                <w:rFonts w:ascii="Arial" w:hAnsi="Arial" w:cs="Arial"/>
                <w:sz w:val="24"/>
                <w:szCs w:val="24"/>
              </w:rPr>
              <w:t>significativa</w:t>
            </w:r>
            <w:r w:rsidR="00013954">
              <w:rPr>
                <w:rFonts w:ascii="Arial" w:hAnsi="Arial" w:cs="Arial"/>
                <w:sz w:val="24"/>
                <w:szCs w:val="24"/>
              </w:rPr>
              <w:t xml:space="preserve"> de providências de emissão, manuseio e conferência de documentos públicos, bem como ainda a expedição de orientações aos licitantes sobre a celebração de negócios jurídicos de compra e venda, com toda a documentação e informações de suporte</w:t>
            </w:r>
            <w:r w:rsidR="00EB490A">
              <w:rPr>
                <w:rFonts w:ascii="Arial" w:hAnsi="Arial" w:cs="Arial"/>
                <w:sz w:val="24"/>
                <w:szCs w:val="24"/>
              </w:rPr>
              <w:t>,</w:t>
            </w:r>
            <w:r w:rsidR="00013954" w:rsidRPr="00B9379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B93797" w:rsidRPr="00B9379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B93797" w:rsidRPr="00B93797">
              <w:rPr>
                <w:rFonts w:ascii="Arial" w:hAnsi="Arial" w:cs="Arial"/>
                <w:i/>
                <w:iCs/>
                <w:sz w:val="24"/>
                <w:szCs w:val="24"/>
              </w:rPr>
              <w:t>verbis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8B0A84C" w14:textId="77777777" w:rsidR="007526DA" w:rsidRDefault="007526DA" w:rsidP="00325FA9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2520F2" w14:textId="4DAF3672" w:rsidR="007210E7" w:rsidRDefault="007210E7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6.3.3. DA VERIFICAÇÃO DE ÔNUS E DÉBITOS</w:t>
            </w:r>
          </w:p>
          <w:p w14:paraId="55C8968B" w14:textId="77777777" w:rsidR="00387F66" w:rsidRPr="007526DA" w:rsidRDefault="00387F66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6DDE59" w14:textId="77777777" w:rsidR="007210E7" w:rsidRPr="007526DA" w:rsidRDefault="007210E7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a) Verificar junto ao DETRAN a numeração do chassi e do motor, bem como débitos,</w:t>
            </w:r>
          </w:p>
          <w:p w14:paraId="2332D5C8" w14:textId="21E450E0" w:rsidR="007210E7" w:rsidRPr="007526DA" w:rsidRDefault="007210E7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impedimentos judiciais, administrativos e congêneres, comunicando ao Contratante as</w:t>
            </w:r>
            <w:r w:rsidR="009F2C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ocorrências encontradas, sem prejuízo da sua inteira responsabilidade quanto às</w:t>
            </w:r>
            <w:r w:rsidR="009F2C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informações e providências relacionadas às pendências e/ou irregularidades em todos os</w:t>
            </w:r>
            <w:r w:rsidR="006B2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meios de divulgação do leilão, ou seja, catálogos, sites, panfletos e afins.</w:t>
            </w:r>
          </w:p>
          <w:p w14:paraId="0B55831C" w14:textId="77777777" w:rsidR="00CE2D36" w:rsidRDefault="00CE2D36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400CFB" w14:textId="2BB9A0AB" w:rsidR="007210E7" w:rsidRPr="007526DA" w:rsidRDefault="007210E7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6.3.4. DO AJUSTE DE DOCUMENTOS E GESTÃO DAS INFORMAÇÕES</w:t>
            </w:r>
          </w:p>
          <w:p w14:paraId="761D6CDB" w14:textId="6872E241" w:rsidR="007210E7" w:rsidRPr="007526DA" w:rsidRDefault="007210E7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a) Conferir as informações e documentos recebidos, ainda que obtidas do Contratante,</w:t>
            </w:r>
            <w:r w:rsidR="00283E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de outras repartições públicas ou de terceiros, efetuando todas as correções aplicáveis, sob</w:t>
            </w:r>
            <w:r w:rsidR="00283E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sua inteira responsabilidade, na forma da lei.</w:t>
            </w:r>
          </w:p>
          <w:p w14:paraId="509C8FBE" w14:textId="43989DF3" w:rsidR="007210E7" w:rsidRPr="007526DA" w:rsidRDefault="007210E7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b) Deverão ser observadas e seguidas as Exigências relacionadas ao leilão e ao ajuste</w:t>
            </w:r>
            <w:r w:rsidR="00283E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de seus lotes em todas as esferas, possibilitando a retirada do lote arrematado.</w:t>
            </w:r>
          </w:p>
          <w:p w14:paraId="21435021" w14:textId="77777777" w:rsidR="007210E7" w:rsidRPr="007526DA" w:rsidRDefault="007210E7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c) Providenciar, junto ao DETRAN, o registro dos comunicados de venda.</w:t>
            </w:r>
          </w:p>
          <w:p w14:paraId="2E65CF3E" w14:textId="77777777" w:rsidR="007210E7" w:rsidRPr="007526DA" w:rsidRDefault="007210E7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d) Emitir a documentação exigível decorrente da arrematação, tais como:</w:t>
            </w:r>
          </w:p>
          <w:p w14:paraId="14148304" w14:textId="649384AD" w:rsidR="00EE1E0A" w:rsidRPr="007526DA" w:rsidRDefault="007210E7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I) Declaração do Leiloeiro de que o arrematante cumpriu todas as</w:t>
            </w:r>
            <w:r w:rsidR="00F736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condições, atividades e etapas necessárias à conclusão da arrematação</w:t>
            </w:r>
            <w:r w:rsidR="00F736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(e das atividades dela decorrentes) e à retirada do lote arrematado, sem</w:t>
            </w:r>
            <w:r w:rsidR="00F736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qualquer pendência remanescente;</w:t>
            </w:r>
          </w:p>
          <w:p w14:paraId="5959782E" w14:textId="77777777" w:rsidR="00F73647" w:rsidRDefault="007064B5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7B2B" w:rsidRPr="007526DA">
              <w:rPr>
                <w:rFonts w:ascii="Arial" w:hAnsi="Arial" w:cs="Arial"/>
                <w:sz w:val="22"/>
                <w:szCs w:val="22"/>
              </w:rPr>
              <w:t>II) Serão nulas as convenções pactuadas pelo CONTRATADO, antes ou</w:t>
            </w:r>
            <w:r w:rsidR="00F736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7B2B" w:rsidRPr="007526DA">
              <w:rPr>
                <w:rFonts w:ascii="Arial" w:hAnsi="Arial" w:cs="Arial"/>
                <w:sz w:val="22"/>
                <w:szCs w:val="22"/>
              </w:rPr>
              <w:t>depois da arrematação, com o fito de transferir, a arrematante ou a</w:t>
            </w:r>
            <w:r w:rsidR="00F736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7B2B" w:rsidRPr="007526DA">
              <w:rPr>
                <w:rFonts w:ascii="Arial" w:hAnsi="Arial" w:cs="Arial"/>
                <w:sz w:val="22"/>
                <w:szCs w:val="22"/>
              </w:rPr>
              <w:t>terceiros, as suas responsabilidades perante a Contratante.</w:t>
            </w:r>
            <w:r w:rsidR="00F736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187819" w14:textId="1749F239" w:rsidR="00B07B2B" w:rsidRPr="007526DA" w:rsidRDefault="00B07B2B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III) Nota de arrematação do bem arrematado, em nome do titular do lance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vencedor;</w:t>
            </w:r>
          </w:p>
          <w:p w14:paraId="022E9140" w14:textId="2EE6A2E2" w:rsidR="00B07B2B" w:rsidRPr="007526DA" w:rsidRDefault="00B07B2B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IV) Declaração do Leiloeiro de que o arrematante cumpriu todas as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condições e etapas necessárias à conclusão da arrematação (e das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atividades dela decorrentes) e providências decorrentes, estando apto a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retirar o bem arrematado no pátio/imóvel do Órgão detentor, respectiva a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cada lote;</w:t>
            </w:r>
          </w:p>
          <w:p w14:paraId="34EDE696" w14:textId="076BB47C" w:rsidR="00B07B2B" w:rsidRPr="007526DA" w:rsidRDefault="00B07B2B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V) Termo de entrega do bem contendo autorização de retirada do bem, a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ser assinada pelo servidor responsável pela gestão ou fiscalização do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Contrato, com fundamento na declaração do leiloeiro de que o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arrematante cumpriu todas as condições necessárias para tal (de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responsabilidade do contratado);</w:t>
            </w:r>
          </w:p>
          <w:p w14:paraId="25B3C962" w14:textId="77777777" w:rsidR="00B07B2B" w:rsidRPr="007526DA" w:rsidRDefault="00B07B2B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VI) Nota fiscal do bem vendido, quando devida;</w:t>
            </w:r>
          </w:p>
          <w:p w14:paraId="52FD4505" w14:textId="3E5D39F2" w:rsidR="00B07B2B" w:rsidRPr="007526DA" w:rsidRDefault="00B07B2B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VII) Documento Único de Arrecadação – DUA, para o pagamento da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arrematação;</w:t>
            </w:r>
          </w:p>
          <w:p w14:paraId="16282338" w14:textId="179EA766" w:rsidR="00B07B2B" w:rsidRPr="007526DA" w:rsidRDefault="00B07B2B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VIII) Documento Único de Arrecadação – DUA, para recolhimento de ICMS,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quando devido;</w:t>
            </w:r>
          </w:p>
          <w:p w14:paraId="3A743F1D" w14:textId="656411FA" w:rsidR="00B07B2B" w:rsidRPr="007526DA" w:rsidRDefault="00B07B2B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lastRenderedPageBreak/>
              <w:t>IX) Espelho de comprovação da comunicação de venda dos veículos,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emitido por meio do site do DETRAN/ES;</w:t>
            </w:r>
          </w:p>
          <w:p w14:paraId="26D455DF" w14:textId="198E0D03" w:rsidR="00B07B2B" w:rsidRPr="007526DA" w:rsidRDefault="00B07B2B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X) Autorização de retirada do bem, a ser assinada pelo servidor responsável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pela gestão ou fiscalização do Contrato, para autorizar a retirada do bem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pelo arrematante, com fundamento na declaração supracitada;</w:t>
            </w:r>
          </w:p>
          <w:p w14:paraId="7F0581FB" w14:textId="04BA3A58" w:rsidR="00B07B2B" w:rsidRPr="007526DA" w:rsidRDefault="00B07B2B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XI) Termo de Recebimento do bem, que deverá ser assinado pelo</w:t>
            </w:r>
            <w:r w:rsidR="0005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26DA">
              <w:rPr>
                <w:rFonts w:ascii="Arial" w:hAnsi="Arial" w:cs="Arial"/>
                <w:sz w:val="22"/>
                <w:szCs w:val="22"/>
              </w:rPr>
              <w:t>arrematante no ato da retirada do bem;</w:t>
            </w:r>
          </w:p>
          <w:p w14:paraId="1158851B" w14:textId="77777777" w:rsidR="00B07B2B" w:rsidRPr="007526DA" w:rsidRDefault="00B07B2B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XII) Outros documentos exigidos pelo CONTRATANTE ou pela legislação</w:t>
            </w:r>
          </w:p>
          <w:p w14:paraId="415C851C" w14:textId="4BA2D8FA" w:rsidR="00325FA9" w:rsidRDefault="004D6522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DA">
              <w:rPr>
                <w:rFonts w:ascii="Arial" w:hAnsi="Arial" w:cs="Arial"/>
                <w:sz w:val="22"/>
                <w:szCs w:val="22"/>
              </w:rPr>
              <w:t>V</w:t>
            </w:r>
            <w:r w:rsidR="00B07B2B" w:rsidRPr="007526DA">
              <w:rPr>
                <w:rFonts w:ascii="Arial" w:hAnsi="Arial" w:cs="Arial"/>
                <w:sz w:val="22"/>
                <w:szCs w:val="22"/>
              </w:rPr>
              <w:t>igente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85F0B5" w14:textId="77777777" w:rsidR="000407E7" w:rsidRDefault="000407E7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6ADF4A" w14:textId="6208F403" w:rsidR="000407E7" w:rsidRDefault="000407E7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  <w:p w14:paraId="6D8015F4" w14:textId="65D7251A" w:rsidR="000407E7" w:rsidRDefault="000407E7" w:rsidP="007526DA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2B176F" w14:textId="77777777" w:rsidR="000407E7" w:rsidRPr="000407E7" w:rsidRDefault="000407E7" w:rsidP="000407E7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E7">
              <w:rPr>
                <w:rFonts w:ascii="Arial" w:hAnsi="Arial" w:cs="Arial"/>
                <w:sz w:val="22"/>
                <w:szCs w:val="22"/>
              </w:rPr>
              <w:t>6.3.10. DAS RESPONSABILIDADES DO LEILOEIRO</w:t>
            </w:r>
          </w:p>
          <w:p w14:paraId="7E2EE7CB" w14:textId="77777777" w:rsidR="000407E7" w:rsidRPr="000407E7" w:rsidRDefault="000407E7" w:rsidP="000407E7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E7">
              <w:rPr>
                <w:rFonts w:ascii="Arial" w:hAnsi="Arial" w:cs="Arial"/>
                <w:sz w:val="22"/>
                <w:szCs w:val="22"/>
              </w:rPr>
              <w:t>a) O leiloeiro deverá cumprir todas as disposições do Decreto Estadual nº 5.592-R/24,</w:t>
            </w:r>
          </w:p>
          <w:p w14:paraId="687F5B38" w14:textId="77777777" w:rsidR="000407E7" w:rsidRPr="000407E7" w:rsidRDefault="000407E7" w:rsidP="000407E7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E7">
              <w:rPr>
                <w:rFonts w:ascii="Arial" w:hAnsi="Arial" w:cs="Arial"/>
                <w:sz w:val="22"/>
                <w:szCs w:val="22"/>
              </w:rPr>
              <w:t>especialmente o disposto no art. 9º.</w:t>
            </w:r>
          </w:p>
          <w:p w14:paraId="78DB5293" w14:textId="77777777" w:rsidR="000407E7" w:rsidRPr="000407E7" w:rsidRDefault="000407E7" w:rsidP="000407E7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E7">
              <w:rPr>
                <w:rFonts w:ascii="Arial" w:hAnsi="Arial" w:cs="Arial"/>
                <w:sz w:val="22"/>
                <w:szCs w:val="22"/>
              </w:rPr>
              <w:t>b) O leiloeiro deverá:</w:t>
            </w:r>
          </w:p>
          <w:p w14:paraId="6695A16A" w14:textId="1D979A5D" w:rsidR="000407E7" w:rsidRPr="000407E7" w:rsidRDefault="000407E7" w:rsidP="000407E7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E7">
              <w:rPr>
                <w:rFonts w:ascii="Arial" w:hAnsi="Arial" w:cs="Arial"/>
                <w:sz w:val="22"/>
                <w:szCs w:val="22"/>
              </w:rPr>
              <w:t>I. Tomar decisões em prol da boa condução da alienação, impulsionando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7E7">
              <w:rPr>
                <w:rFonts w:ascii="Arial" w:hAnsi="Arial" w:cs="Arial"/>
                <w:sz w:val="22"/>
                <w:szCs w:val="22"/>
              </w:rPr>
              <w:t>o procedimento, inclusive demandando às áreas responsáveis 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7E7">
              <w:rPr>
                <w:rFonts w:ascii="Arial" w:hAnsi="Arial" w:cs="Arial"/>
                <w:sz w:val="22"/>
                <w:szCs w:val="22"/>
              </w:rPr>
              <w:t>saneamento da fase preparatória, caso necessário;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CAFFF0" w14:textId="4840AB63" w:rsidR="000407E7" w:rsidRDefault="000407E7" w:rsidP="000407E7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E7">
              <w:rPr>
                <w:rFonts w:ascii="Arial" w:hAnsi="Arial" w:cs="Arial"/>
                <w:sz w:val="22"/>
                <w:szCs w:val="22"/>
              </w:rPr>
              <w:t>II. Prestar apoio técnico e informações relevantes ao desenvolvimento da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7E7">
              <w:rPr>
                <w:rFonts w:ascii="Arial" w:hAnsi="Arial" w:cs="Arial"/>
                <w:sz w:val="22"/>
                <w:szCs w:val="22"/>
              </w:rPr>
              <w:t>instrução processual, sempre que solicitado;</w:t>
            </w:r>
          </w:p>
          <w:p w14:paraId="73FBE13C" w14:textId="19A1FCB4" w:rsidR="000407E7" w:rsidRPr="000407E7" w:rsidRDefault="000407E7" w:rsidP="000407E7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  <w:p w14:paraId="31D5AD86" w14:textId="66D14ADC" w:rsidR="000407E7" w:rsidRPr="000407E7" w:rsidRDefault="000407E7" w:rsidP="000407E7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E7">
              <w:rPr>
                <w:rFonts w:ascii="Arial" w:hAnsi="Arial" w:cs="Arial"/>
                <w:sz w:val="22"/>
                <w:szCs w:val="22"/>
              </w:rPr>
              <w:t>XIII. Conferir as informações e documentos recebidos, sob sua inteira</w:t>
            </w:r>
            <w:r w:rsidR="00C82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7E7">
              <w:rPr>
                <w:rFonts w:ascii="Arial" w:hAnsi="Arial" w:cs="Arial"/>
                <w:sz w:val="22"/>
                <w:szCs w:val="22"/>
              </w:rPr>
              <w:t>responsabilidade, ainda que obtidas do Órgão Contratante, de outras</w:t>
            </w:r>
            <w:r w:rsidR="00C82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7E7">
              <w:rPr>
                <w:rFonts w:ascii="Arial" w:hAnsi="Arial" w:cs="Arial"/>
                <w:sz w:val="22"/>
                <w:szCs w:val="22"/>
              </w:rPr>
              <w:t>repartições públicas ou mesmo de terceiros, efetuando todas as</w:t>
            </w:r>
            <w:r w:rsidR="00C82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7E7">
              <w:rPr>
                <w:rFonts w:ascii="Arial" w:hAnsi="Arial" w:cs="Arial"/>
                <w:sz w:val="22"/>
                <w:szCs w:val="22"/>
              </w:rPr>
              <w:t>correções aplicáveis, na forma da lei.</w:t>
            </w:r>
          </w:p>
          <w:p w14:paraId="47E1D3B1" w14:textId="49B911D2" w:rsidR="000407E7" w:rsidRDefault="000407E7" w:rsidP="000407E7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07E7">
              <w:rPr>
                <w:rFonts w:ascii="Arial" w:hAnsi="Arial" w:cs="Arial"/>
                <w:sz w:val="22"/>
                <w:szCs w:val="22"/>
              </w:rPr>
              <w:t>XIV. Observar e fazer cumprir as disposições das normas regentes de</w:t>
            </w:r>
            <w:r w:rsidR="00C82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7E7">
              <w:rPr>
                <w:rFonts w:ascii="Arial" w:hAnsi="Arial" w:cs="Arial"/>
                <w:sz w:val="22"/>
                <w:szCs w:val="22"/>
              </w:rPr>
              <w:t>licitações e de contratos administrativos, do Edital de Credenciamento</w:t>
            </w:r>
            <w:r w:rsidR="00C82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7E7">
              <w:rPr>
                <w:rFonts w:ascii="Arial" w:hAnsi="Arial" w:cs="Arial"/>
                <w:sz w:val="22"/>
                <w:szCs w:val="22"/>
              </w:rPr>
              <w:t>a que este instrumento se vincula, do Decreto nº 5.545-R, de 14 de</w:t>
            </w:r>
            <w:r w:rsidR="00C82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7E7">
              <w:rPr>
                <w:rFonts w:ascii="Arial" w:hAnsi="Arial" w:cs="Arial"/>
                <w:sz w:val="22"/>
                <w:szCs w:val="22"/>
              </w:rPr>
              <w:t>novembro de 2023, as normas tributárias, de trânsito, de leiloaria,</w:t>
            </w:r>
            <w:r w:rsidR="00C82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7E7">
              <w:rPr>
                <w:rFonts w:ascii="Arial" w:hAnsi="Arial" w:cs="Arial"/>
                <w:sz w:val="22"/>
                <w:szCs w:val="22"/>
              </w:rPr>
              <w:t>comerciais, registrais, cadastrais, ambientais, bem como todas as</w:t>
            </w:r>
            <w:r w:rsidR="00C823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07E7">
              <w:rPr>
                <w:rFonts w:ascii="Arial" w:hAnsi="Arial" w:cs="Arial"/>
                <w:sz w:val="22"/>
                <w:szCs w:val="22"/>
              </w:rPr>
              <w:t>normas aplicáveis e sua atualização.</w:t>
            </w:r>
          </w:p>
          <w:p w14:paraId="5BED72C3" w14:textId="3B2C7DAA" w:rsidR="00C82372" w:rsidRDefault="00C82372" w:rsidP="000407E7">
            <w:pPr>
              <w:spacing w:after="120"/>
              <w:ind w:left="232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  <w:p w14:paraId="34DDC7FD" w14:textId="3B4DF799" w:rsidR="00714DE9" w:rsidRDefault="00714DE9" w:rsidP="0025630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E5F61B" w14:textId="3AD6911B" w:rsidR="003970BB" w:rsidRDefault="00213C30" w:rsidP="00714DE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Demonstra-se, com clareza solar, que o objeto da contratação demanda rol de </w:t>
            </w:r>
            <w:r w:rsidRPr="003F4795">
              <w:rPr>
                <w:rFonts w:ascii="Arial" w:hAnsi="Arial" w:cs="Arial"/>
                <w:b/>
                <w:bCs/>
                <w:sz w:val="22"/>
                <w:szCs w:val="22"/>
              </w:rPr>
              <w:t>numerosas</w:t>
            </w:r>
            <w:r>
              <w:rPr>
                <w:rFonts w:ascii="Arial" w:hAnsi="Arial" w:cs="Arial"/>
                <w:sz w:val="22"/>
                <w:szCs w:val="22"/>
              </w:rPr>
              <w:t xml:space="preserve"> atividades de cunho documental e informacional, </w:t>
            </w:r>
            <w:r w:rsidR="008861C3">
              <w:rPr>
                <w:rFonts w:ascii="Arial" w:hAnsi="Arial" w:cs="Arial"/>
                <w:sz w:val="22"/>
                <w:szCs w:val="22"/>
              </w:rPr>
              <w:t xml:space="preserve">constatando-se, </w:t>
            </w:r>
            <w:r w:rsidR="00720AF9">
              <w:rPr>
                <w:rFonts w:ascii="Arial" w:hAnsi="Arial" w:cs="Arial"/>
                <w:sz w:val="22"/>
                <w:szCs w:val="22"/>
              </w:rPr>
              <w:t xml:space="preserve">conforme </w:t>
            </w:r>
            <w:r w:rsidR="006E3C8D">
              <w:rPr>
                <w:rFonts w:ascii="Arial" w:hAnsi="Arial" w:cs="Arial"/>
                <w:sz w:val="22"/>
                <w:szCs w:val="22"/>
              </w:rPr>
              <w:t xml:space="preserve">objetivamente </w:t>
            </w:r>
            <w:r w:rsidR="00720AF9">
              <w:rPr>
                <w:rFonts w:ascii="Arial" w:hAnsi="Arial" w:cs="Arial"/>
                <w:sz w:val="22"/>
                <w:szCs w:val="22"/>
              </w:rPr>
              <w:t xml:space="preserve">demonstrado, </w:t>
            </w:r>
            <w:r w:rsidR="008861C3">
              <w:rPr>
                <w:rFonts w:ascii="Arial" w:hAnsi="Arial" w:cs="Arial"/>
                <w:sz w:val="22"/>
                <w:szCs w:val="22"/>
              </w:rPr>
              <w:t xml:space="preserve">que o requerente não apresentou sequer os próprios documentos na forma objetivamente exigida pelo edital, nem </w:t>
            </w:r>
            <w:r w:rsidR="0052692A">
              <w:rPr>
                <w:rFonts w:ascii="Arial" w:hAnsi="Arial" w:cs="Arial"/>
                <w:sz w:val="22"/>
                <w:szCs w:val="22"/>
              </w:rPr>
              <w:t xml:space="preserve">mesmo quando </w:t>
            </w:r>
            <w:r w:rsidR="00A0727C">
              <w:rPr>
                <w:rFonts w:ascii="Arial" w:hAnsi="Arial" w:cs="Arial"/>
                <w:sz w:val="22"/>
                <w:szCs w:val="22"/>
              </w:rPr>
              <w:t>a solicitação</w:t>
            </w:r>
            <w:r w:rsidR="008861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1564">
              <w:rPr>
                <w:rFonts w:ascii="Arial" w:hAnsi="Arial" w:cs="Arial"/>
                <w:sz w:val="22"/>
                <w:szCs w:val="22"/>
              </w:rPr>
              <w:t xml:space="preserve">foi reiterada </w:t>
            </w:r>
            <w:r w:rsidR="008861C3">
              <w:rPr>
                <w:rFonts w:ascii="Arial" w:hAnsi="Arial" w:cs="Arial"/>
                <w:sz w:val="22"/>
                <w:szCs w:val="22"/>
              </w:rPr>
              <w:t>em caráter de diligência</w:t>
            </w:r>
            <w:r w:rsidR="0025630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74E4C">
              <w:rPr>
                <w:rFonts w:ascii="Arial" w:hAnsi="Arial" w:cs="Arial"/>
                <w:sz w:val="22"/>
                <w:szCs w:val="22"/>
              </w:rPr>
              <w:t xml:space="preserve">inclusive </w:t>
            </w:r>
            <w:r w:rsidR="00256307">
              <w:rPr>
                <w:rFonts w:ascii="Arial" w:hAnsi="Arial" w:cs="Arial"/>
                <w:sz w:val="22"/>
                <w:szCs w:val="22"/>
              </w:rPr>
              <w:t>negando-se a apresentar documento solicitado por esta última</w:t>
            </w:r>
            <w:r w:rsidR="008861C3">
              <w:rPr>
                <w:rFonts w:ascii="Arial" w:hAnsi="Arial" w:cs="Arial"/>
                <w:sz w:val="22"/>
                <w:szCs w:val="22"/>
              </w:rPr>
              <w:t>.</w:t>
            </w:r>
            <w:r w:rsidR="00FC70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B586D5" w14:textId="4BC5032D" w:rsidR="00720AF9" w:rsidRDefault="00FC706C" w:rsidP="00714DE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Acrescente-se que, além de numerosas, a </w:t>
            </w:r>
            <w:r w:rsidRPr="003F4795">
              <w:rPr>
                <w:rFonts w:ascii="Arial" w:hAnsi="Arial" w:cs="Arial"/>
                <w:b/>
                <w:bCs/>
                <w:sz w:val="22"/>
                <w:szCs w:val="22"/>
              </w:rPr>
              <w:t>frequência</w:t>
            </w:r>
            <w:r>
              <w:rPr>
                <w:rFonts w:ascii="Arial" w:hAnsi="Arial" w:cs="Arial"/>
                <w:sz w:val="22"/>
                <w:szCs w:val="22"/>
              </w:rPr>
              <w:t xml:space="preserve"> da realização </w:t>
            </w:r>
            <w:r w:rsidR="003970BB">
              <w:rPr>
                <w:rFonts w:ascii="Arial" w:hAnsi="Arial" w:cs="Arial"/>
                <w:sz w:val="22"/>
                <w:szCs w:val="22"/>
              </w:rPr>
              <w:t xml:space="preserve">dessas atividades </w:t>
            </w:r>
            <w:r>
              <w:rPr>
                <w:rFonts w:ascii="Arial" w:hAnsi="Arial" w:cs="Arial"/>
                <w:sz w:val="22"/>
                <w:szCs w:val="22"/>
              </w:rPr>
              <w:t xml:space="preserve">também é </w:t>
            </w:r>
            <w:r w:rsidR="00B45F94">
              <w:rPr>
                <w:rFonts w:ascii="Arial" w:hAnsi="Arial" w:cs="Arial"/>
                <w:sz w:val="22"/>
                <w:szCs w:val="22"/>
              </w:rPr>
              <w:t>representativa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795">
              <w:rPr>
                <w:rFonts w:ascii="Arial" w:hAnsi="Arial" w:cs="Arial"/>
                <w:sz w:val="22"/>
                <w:szCs w:val="22"/>
              </w:rPr>
              <w:t>e inerente à</w:t>
            </w:r>
            <w:r>
              <w:rPr>
                <w:rFonts w:ascii="Arial" w:hAnsi="Arial" w:cs="Arial"/>
                <w:sz w:val="22"/>
                <w:szCs w:val="22"/>
              </w:rPr>
              <w:t xml:space="preserve"> atividade de leiloaria. </w:t>
            </w:r>
            <w:r w:rsidR="006F30E8">
              <w:rPr>
                <w:rFonts w:ascii="Arial" w:hAnsi="Arial" w:cs="Arial"/>
                <w:sz w:val="22"/>
                <w:szCs w:val="22"/>
              </w:rPr>
              <w:t xml:space="preserve">Assim, a Administração não vislumbra contratar leiloeiro que atue em </w:t>
            </w:r>
            <w:r w:rsidR="006F30E8" w:rsidRPr="003970BB">
              <w:rPr>
                <w:rFonts w:ascii="Arial" w:hAnsi="Arial" w:cs="Arial"/>
                <w:i/>
                <w:iCs/>
                <w:sz w:val="22"/>
                <w:szCs w:val="22"/>
              </w:rPr>
              <w:t>caráter ocasional</w:t>
            </w:r>
            <w:r w:rsidR="006F30E8">
              <w:rPr>
                <w:rFonts w:ascii="Arial" w:hAnsi="Arial" w:cs="Arial"/>
                <w:sz w:val="22"/>
                <w:szCs w:val="22"/>
              </w:rPr>
              <w:t xml:space="preserve"> com a habilidade documental inerente às suas atividades, mas sim com a regularidade necessária. </w:t>
            </w:r>
          </w:p>
          <w:p w14:paraId="21B0DC1E" w14:textId="77777777" w:rsidR="00720AF9" w:rsidRDefault="00720AF9" w:rsidP="00714DE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207562" w14:textId="11F05AF5" w:rsidR="00714DE9" w:rsidRDefault="009F3FCF" w:rsidP="00714DE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Ademais, a</w:t>
            </w:r>
            <w:r w:rsidR="00720AF9">
              <w:rPr>
                <w:rFonts w:ascii="Arial" w:hAnsi="Arial" w:cs="Arial"/>
                <w:sz w:val="22"/>
                <w:szCs w:val="22"/>
              </w:rPr>
              <w:t xml:space="preserve"> título de exemplo, quando </w:t>
            </w:r>
            <w:r w:rsidR="00575665">
              <w:rPr>
                <w:rFonts w:ascii="Arial" w:hAnsi="Arial" w:cs="Arial"/>
                <w:sz w:val="22"/>
                <w:szCs w:val="22"/>
              </w:rPr>
              <w:t>o Poder Público</w:t>
            </w:r>
            <w:r w:rsidR="00720A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4F62">
              <w:rPr>
                <w:rFonts w:ascii="Arial" w:hAnsi="Arial" w:cs="Arial"/>
                <w:sz w:val="22"/>
                <w:szCs w:val="22"/>
              </w:rPr>
              <w:t>pretende contratar</w:t>
            </w:r>
            <w:r w:rsidR="00720AF9">
              <w:rPr>
                <w:rFonts w:ascii="Arial" w:hAnsi="Arial" w:cs="Arial"/>
                <w:sz w:val="22"/>
                <w:szCs w:val="22"/>
              </w:rPr>
              <w:t xml:space="preserve"> uma empresa para edificar uma ponte ou um edifício, </w:t>
            </w:r>
            <w:r w:rsidR="009F4F62">
              <w:rPr>
                <w:rFonts w:ascii="Arial" w:hAnsi="Arial" w:cs="Arial"/>
                <w:sz w:val="22"/>
                <w:szCs w:val="22"/>
              </w:rPr>
              <w:t>ela</w:t>
            </w:r>
            <w:r w:rsidR="00720AF9">
              <w:rPr>
                <w:rFonts w:ascii="Arial" w:hAnsi="Arial" w:cs="Arial"/>
                <w:sz w:val="22"/>
                <w:szCs w:val="22"/>
              </w:rPr>
              <w:t xml:space="preserve"> enseja contratar empresa que tenha perícia na edificação da ponte, não uma empresa com perícia</w:t>
            </w:r>
            <w:r w:rsidR="009F4F62">
              <w:rPr>
                <w:rFonts w:ascii="Arial" w:hAnsi="Arial" w:cs="Arial"/>
                <w:sz w:val="22"/>
                <w:szCs w:val="22"/>
              </w:rPr>
              <w:t xml:space="preserve"> em emissão, manuseio e conferência</w:t>
            </w:r>
            <w:r w:rsidR="00720A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2014">
              <w:rPr>
                <w:rFonts w:ascii="Arial" w:hAnsi="Arial" w:cs="Arial"/>
                <w:sz w:val="22"/>
                <w:szCs w:val="22"/>
              </w:rPr>
              <w:t>de documentos e informações.</w:t>
            </w:r>
          </w:p>
          <w:p w14:paraId="715B04E9" w14:textId="4BD858ED" w:rsidR="009F4F62" w:rsidRDefault="009F4F62" w:rsidP="00714DE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D866B8" w14:textId="09A56702" w:rsidR="009F4F62" w:rsidRDefault="009F4F62" w:rsidP="00714DE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Contudo, quando a Administração </w:t>
            </w:r>
            <w:r w:rsidR="008B7138">
              <w:rPr>
                <w:rFonts w:ascii="Arial" w:hAnsi="Arial" w:cs="Arial"/>
                <w:sz w:val="22"/>
                <w:szCs w:val="22"/>
              </w:rPr>
              <w:t xml:space="preserve">pretende contratar </w:t>
            </w:r>
            <w:r w:rsidR="00FA22CD">
              <w:rPr>
                <w:rFonts w:ascii="Arial" w:hAnsi="Arial" w:cs="Arial"/>
                <w:sz w:val="22"/>
                <w:szCs w:val="22"/>
              </w:rPr>
              <w:t>serviços de leiloaria, despachantes veiculares, despachantes imobiliários, arquivistas, historiadores, etc., a expertise em emissão, manuseio e conferência documental é inerente ao próprio objeto da contratação, constitui a própria natureza do objeto, sobretudo quando há um rol de diversas medidas documentais expressamente descritas no edital.</w:t>
            </w:r>
            <w:r w:rsidR="006554F0">
              <w:rPr>
                <w:rFonts w:ascii="Arial" w:hAnsi="Arial" w:cs="Arial"/>
                <w:sz w:val="22"/>
                <w:szCs w:val="22"/>
              </w:rPr>
              <w:t xml:space="preserve"> Por sua vez, como dito acima, o requerente não providenciou dois dos documentos solicitados pelo edital em apreço, mesmo na reiteração de sua solicitação</w:t>
            </w:r>
            <w:r w:rsidR="00081CA2">
              <w:rPr>
                <w:rFonts w:ascii="Arial" w:hAnsi="Arial" w:cs="Arial"/>
                <w:sz w:val="22"/>
                <w:szCs w:val="22"/>
              </w:rPr>
              <w:t xml:space="preserve">, por meio de diligência, tendo-se negado a apresentar um deles. </w:t>
            </w:r>
          </w:p>
          <w:p w14:paraId="75EC9EAE" w14:textId="4FADF63D" w:rsidR="00405249" w:rsidRPr="00DA2AE1" w:rsidRDefault="00405249" w:rsidP="007B3C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C5328" w14:textId="00514346" w:rsidR="00B93EE0" w:rsidRPr="00DA2AE1" w:rsidRDefault="00B93EE0" w:rsidP="00B93EE0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A2AE1">
              <w:rPr>
                <w:rFonts w:ascii="Arial" w:hAnsi="Arial" w:cs="Arial"/>
                <w:b/>
                <w:sz w:val="24"/>
                <w:szCs w:val="24"/>
              </w:rPr>
              <w:t>RESULTADO D</w:t>
            </w:r>
            <w:r w:rsidR="00414BD4" w:rsidRPr="00DA2AE1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A2A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4BD4" w:rsidRPr="00DA2AE1">
              <w:rPr>
                <w:rFonts w:ascii="Arial" w:hAnsi="Arial" w:cs="Arial"/>
                <w:b/>
                <w:sz w:val="24"/>
                <w:szCs w:val="24"/>
              </w:rPr>
              <w:t>ANÁLISE</w:t>
            </w:r>
            <w:r w:rsidRPr="00DA2AE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3BB41F94" w14:textId="44A52F00" w:rsidR="00414BD4" w:rsidRPr="00DA2AE1" w:rsidRDefault="00414BD4" w:rsidP="00CF4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29671D" w14:textId="0D1F6E72" w:rsidR="00423285" w:rsidRDefault="00AF37A6" w:rsidP="00D010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 fundamento </w:t>
            </w:r>
            <w:r w:rsidR="00F11110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exposto</w:t>
            </w:r>
            <w:r w:rsidR="00D010EC" w:rsidRPr="00D010E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25F2A">
              <w:rPr>
                <w:rFonts w:ascii="Arial" w:hAnsi="Arial" w:cs="Arial"/>
                <w:sz w:val="24"/>
                <w:szCs w:val="24"/>
              </w:rPr>
              <w:t xml:space="preserve">diante da não apresentação </w:t>
            </w:r>
            <w:r w:rsidR="00064D5C">
              <w:rPr>
                <w:rFonts w:ascii="Arial" w:hAnsi="Arial" w:cs="Arial"/>
                <w:sz w:val="24"/>
                <w:szCs w:val="24"/>
              </w:rPr>
              <w:t>de ambos os documentos exigidos</w:t>
            </w:r>
            <w:r w:rsidR="00D010EC" w:rsidRPr="00D010EC">
              <w:rPr>
                <w:rFonts w:ascii="Arial" w:hAnsi="Arial" w:cs="Arial"/>
                <w:sz w:val="24"/>
                <w:szCs w:val="24"/>
              </w:rPr>
              <w:t xml:space="preserve">, bem como diante da negativa </w:t>
            </w:r>
            <w:r w:rsidR="00F6548C">
              <w:rPr>
                <w:rFonts w:ascii="Arial" w:hAnsi="Arial" w:cs="Arial"/>
                <w:sz w:val="24"/>
                <w:szCs w:val="24"/>
              </w:rPr>
              <w:t xml:space="preserve">expressa </w:t>
            </w:r>
            <w:r w:rsidR="00D010EC" w:rsidRPr="00D010EC">
              <w:rPr>
                <w:rFonts w:ascii="Arial" w:hAnsi="Arial" w:cs="Arial"/>
                <w:sz w:val="24"/>
                <w:szCs w:val="24"/>
              </w:rPr>
              <w:t>do requerente em complementar a informação que lhe fora solicitada a título de diligência</w:t>
            </w:r>
            <w:r w:rsidR="00111E2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010EC" w:rsidRPr="00D010EC">
              <w:rPr>
                <w:rFonts w:ascii="Arial" w:hAnsi="Arial" w:cs="Arial"/>
                <w:sz w:val="24"/>
                <w:szCs w:val="24"/>
              </w:rPr>
              <w:t xml:space="preserve">conclui-se pelo </w:t>
            </w:r>
            <w:r w:rsidR="00D010EC" w:rsidRPr="005B6A10">
              <w:rPr>
                <w:rFonts w:ascii="Arial" w:hAnsi="Arial" w:cs="Arial"/>
                <w:b/>
                <w:bCs/>
                <w:sz w:val="24"/>
                <w:szCs w:val="24"/>
              </w:rPr>
              <w:t>INDEFERIMENTO</w:t>
            </w:r>
            <w:r w:rsidR="00D010EC" w:rsidRPr="00D010EC">
              <w:rPr>
                <w:rFonts w:ascii="Arial" w:hAnsi="Arial" w:cs="Arial"/>
                <w:sz w:val="24"/>
                <w:szCs w:val="24"/>
              </w:rPr>
              <w:t xml:space="preserve"> do requerimento de habilitação ao Edital de Credenciamento de Leiloeiros de Bens Móveis nº 001/2024.</w:t>
            </w:r>
          </w:p>
          <w:p w14:paraId="1E4ED74F" w14:textId="77777777" w:rsidR="00D010EC" w:rsidRPr="00DA2AE1" w:rsidRDefault="00D010EC" w:rsidP="00D010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952D0E" w14:textId="77777777" w:rsidR="00D010EC" w:rsidRDefault="00D010EC" w:rsidP="00D010EC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prazo recursal é de 3 (três) dias úteis, contados da data de intimação, conforme tópico 6.2 do Edital de Credenciamento 001/2024. </w:t>
            </w:r>
          </w:p>
          <w:p w14:paraId="13EE475B" w14:textId="77777777" w:rsidR="00D010EC" w:rsidRDefault="00D010EC" w:rsidP="00D010EC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343CA9" w14:textId="77777777" w:rsidR="00D010EC" w:rsidRPr="009C09E9" w:rsidRDefault="00D010EC" w:rsidP="00D010EC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09E9">
              <w:rPr>
                <w:rFonts w:ascii="Arial" w:hAnsi="Arial" w:cs="Arial"/>
                <w:sz w:val="24"/>
                <w:szCs w:val="24"/>
              </w:rPr>
              <w:t>A comissão divulgará o resultado do presente julgamento, entre outros, no Diário Oficial do Estado – DIOES.</w:t>
            </w:r>
          </w:p>
          <w:p w14:paraId="6A07E7A0" w14:textId="77777777" w:rsidR="00D010EC" w:rsidRPr="009C09E9" w:rsidRDefault="00D010EC" w:rsidP="00D010EC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25BC5" w14:textId="4C4DC2DC" w:rsidR="001837B3" w:rsidRPr="003D1B76" w:rsidRDefault="00D010EC" w:rsidP="00D010EC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9C09E9">
              <w:rPr>
                <w:rFonts w:ascii="Arial" w:hAnsi="Arial" w:cs="Arial"/>
                <w:sz w:val="24"/>
                <w:szCs w:val="24"/>
              </w:rPr>
              <w:t xml:space="preserve">Estando todos participantes concordes com o conteúdo desta Ata, assinam-se por meio eletrônico. </w:t>
            </w:r>
            <w:r w:rsidR="001837B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3D1B76" w:rsidRPr="003D1B76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3D1B76" w:rsidRDefault="0075618B" w:rsidP="005E292F">
            <w:pPr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</w:tbl>
    <w:p w14:paraId="135271A7" w14:textId="77777777" w:rsidR="007F506F" w:rsidRPr="003D1B76" w:rsidRDefault="007F506F" w:rsidP="005E292F">
      <w:pPr>
        <w:jc w:val="both"/>
        <w:rPr>
          <w:rFonts w:ascii="Verdana" w:hAnsi="Verdana"/>
          <w:b/>
          <w:sz w:val="24"/>
          <w:szCs w:val="24"/>
        </w:rPr>
      </w:pPr>
    </w:p>
    <w:sectPr w:rsidR="007F506F" w:rsidRPr="003D1B76" w:rsidSect="00A15049">
      <w:headerReference w:type="default" r:id="rId12"/>
      <w:footerReference w:type="even" r:id="rId13"/>
      <w:footerReference w:type="default" r:id="rId14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349125B0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</w:t>
          </w:r>
          <w:r w:rsidR="006A6375">
            <w:rPr>
              <w:rFonts w:ascii="Arial" w:hAnsi="Arial" w:cs="Arial"/>
              <w:b/>
              <w:smallCaps/>
              <w:sz w:val="28"/>
              <w:szCs w:val="26"/>
            </w:rPr>
            <w:t>16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35104C36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6A6375">
            <w:rPr>
              <w:rFonts w:ascii="Arial" w:hAnsi="Arial" w:cs="Arial"/>
              <w:b/>
              <w:smallCaps/>
              <w:sz w:val="28"/>
              <w:szCs w:val="26"/>
            </w:rPr>
            <w:t>27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7191618"/>
    <w:multiLevelType w:val="hybridMultilevel"/>
    <w:tmpl w:val="9112FA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C8F3004"/>
    <w:multiLevelType w:val="hybridMultilevel"/>
    <w:tmpl w:val="95DCB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3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0"/>
  </w:num>
  <w:num w:numId="12">
    <w:abstractNumId w:val="12"/>
  </w:num>
  <w:num w:numId="13">
    <w:abstractNumId w:val="10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5806"/>
    <w:rsid w:val="00005B68"/>
    <w:rsid w:val="00010834"/>
    <w:rsid w:val="00011207"/>
    <w:rsid w:val="00011B8E"/>
    <w:rsid w:val="00013195"/>
    <w:rsid w:val="00013954"/>
    <w:rsid w:val="00014ADA"/>
    <w:rsid w:val="00015620"/>
    <w:rsid w:val="000162F9"/>
    <w:rsid w:val="00017B27"/>
    <w:rsid w:val="00017B2C"/>
    <w:rsid w:val="00017C62"/>
    <w:rsid w:val="00020E1F"/>
    <w:rsid w:val="0002100B"/>
    <w:rsid w:val="00026834"/>
    <w:rsid w:val="00026914"/>
    <w:rsid w:val="00026A34"/>
    <w:rsid w:val="00027A22"/>
    <w:rsid w:val="0003027D"/>
    <w:rsid w:val="000307F0"/>
    <w:rsid w:val="00031000"/>
    <w:rsid w:val="000310E9"/>
    <w:rsid w:val="0003138B"/>
    <w:rsid w:val="000345B6"/>
    <w:rsid w:val="000369E7"/>
    <w:rsid w:val="000402FA"/>
    <w:rsid w:val="000407E7"/>
    <w:rsid w:val="00040936"/>
    <w:rsid w:val="00052903"/>
    <w:rsid w:val="00055690"/>
    <w:rsid w:val="00056A06"/>
    <w:rsid w:val="00057A55"/>
    <w:rsid w:val="00064D5C"/>
    <w:rsid w:val="000658A6"/>
    <w:rsid w:val="00066556"/>
    <w:rsid w:val="000701A3"/>
    <w:rsid w:val="00072284"/>
    <w:rsid w:val="0007354D"/>
    <w:rsid w:val="0007537F"/>
    <w:rsid w:val="00077C94"/>
    <w:rsid w:val="00080E47"/>
    <w:rsid w:val="00081262"/>
    <w:rsid w:val="00081CA2"/>
    <w:rsid w:val="00081E3E"/>
    <w:rsid w:val="00082C0C"/>
    <w:rsid w:val="00084B02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272A"/>
    <w:rsid w:val="000B71F5"/>
    <w:rsid w:val="000C06D6"/>
    <w:rsid w:val="000C0BC2"/>
    <w:rsid w:val="000C7335"/>
    <w:rsid w:val="000C7A4E"/>
    <w:rsid w:val="000D1C5B"/>
    <w:rsid w:val="000D29AB"/>
    <w:rsid w:val="000E115B"/>
    <w:rsid w:val="000E1ACC"/>
    <w:rsid w:val="000E327B"/>
    <w:rsid w:val="000E3DC4"/>
    <w:rsid w:val="000E4B31"/>
    <w:rsid w:val="000F26E9"/>
    <w:rsid w:val="000F3DCD"/>
    <w:rsid w:val="000F405B"/>
    <w:rsid w:val="000F5FB0"/>
    <w:rsid w:val="000F6548"/>
    <w:rsid w:val="000F678A"/>
    <w:rsid w:val="00102486"/>
    <w:rsid w:val="00102861"/>
    <w:rsid w:val="00105079"/>
    <w:rsid w:val="00105816"/>
    <w:rsid w:val="00107C73"/>
    <w:rsid w:val="00110CA3"/>
    <w:rsid w:val="00111E29"/>
    <w:rsid w:val="00113874"/>
    <w:rsid w:val="0011488D"/>
    <w:rsid w:val="001175D8"/>
    <w:rsid w:val="00121744"/>
    <w:rsid w:val="00123DC5"/>
    <w:rsid w:val="001245CB"/>
    <w:rsid w:val="00125CBB"/>
    <w:rsid w:val="001264D7"/>
    <w:rsid w:val="00126C93"/>
    <w:rsid w:val="00133472"/>
    <w:rsid w:val="0013467E"/>
    <w:rsid w:val="00134A46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4EF4"/>
    <w:rsid w:val="001556E0"/>
    <w:rsid w:val="001578AA"/>
    <w:rsid w:val="00157E16"/>
    <w:rsid w:val="00162A27"/>
    <w:rsid w:val="00162EB5"/>
    <w:rsid w:val="00165D14"/>
    <w:rsid w:val="00166A6B"/>
    <w:rsid w:val="00170225"/>
    <w:rsid w:val="0017159E"/>
    <w:rsid w:val="0017452F"/>
    <w:rsid w:val="00174B8A"/>
    <w:rsid w:val="00175F3E"/>
    <w:rsid w:val="001837B3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EB3"/>
    <w:rsid w:val="00195E07"/>
    <w:rsid w:val="0019798D"/>
    <w:rsid w:val="00197EE6"/>
    <w:rsid w:val="001A7560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258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44D"/>
    <w:rsid w:val="001F390A"/>
    <w:rsid w:val="001F3E2E"/>
    <w:rsid w:val="001F591A"/>
    <w:rsid w:val="00200E34"/>
    <w:rsid w:val="002012C1"/>
    <w:rsid w:val="00204C82"/>
    <w:rsid w:val="00204F95"/>
    <w:rsid w:val="00206FEE"/>
    <w:rsid w:val="00207D6C"/>
    <w:rsid w:val="00211A28"/>
    <w:rsid w:val="00211B10"/>
    <w:rsid w:val="00213C30"/>
    <w:rsid w:val="00216657"/>
    <w:rsid w:val="00217D85"/>
    <w:rsid w:val="002240E7"/>
    <w:rsid w:val="002243A3"/>
    <w:rsid w:val="00225F2A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77AB"/>
    <w:rsid w:val="0025084C"/>
    <w:rsid w:val="00251292"/>
    <w:rsid w:val="00253467"/>
    <w:rsid w:val="00253BA1"/>
    <w:rsid w:val="00253E15"/>
    <w:rsid w:val="00256307"/>
    <w:rsid w:val="00257742"/>
    <w:rsid w:val="002608BE"/>
    <w:rsid w:val="00261564"/>
    <w:rsid w:val="002655DF"/>
    <w:rsid w:val="00265EEE"/>
    <w:rsid w:val="00273EB8"/>
    <w:rsid w:val="00282C7D"/>
    <w:rsid w:val="002830DE"/>
    <w:rsid w:val="002839BE"/>
    <w:rsid w:val="00283E0D"/>
    <w:rsid w:val="002867C5"/>
    <w:rsid w:val="002926A9"/>
    <w:rsid w:val="00292B02"/>
    <w:rsid w:val="002935B8"/>
    <w:rsid w:val="00293948"/>
    <w:rsid w:val="00293991"/>
    <w:rsid w:val="002940CC"/>
    <w:rsid w:val="0029643D"/>
    <w:rsid w:val="002A085C"/>
    <w:rsid w:val="002A3547"/>
    <w:rsid w:val="002A3977"/>
    <w:rsid w:val="002A626C"/>
    <w:rsid w:val="002B0560"/>
    <w:rsid w:val="002B31EB"/>
    <w:rsid w:val="002B61FC"/>
    <w:rsid w:val="002C1FE9"/>
    <w:rsid w:val="002C38E6"/>
    <w:rsid w:val="002C38FC"/>
    <w:rsid w:val="002C6434"/>
    <w:rsid w:val="002C7869"/>
    <w:rsid w:val="002D01D1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D22"/>
    <w:rsid w:val="002E5F97"/>
    <w:rsid w:val="002E7135"/>
    <w:rsid w:val="002F2BF6"/>
    <w:rsid w:val="002F3CBF"/>
    <w:rsid w:val="002F7828"/>
    <w:rsid w:val="002F7A90"/>
    <w:rsid w:val="0030188F"/>
    <w:rsid w:val="00304EE8"/>
    <w:rsid w:val="003059B5"/>
    <w:rsid w:val="00306389"/>
    <w:rsid w:val="00307521"/>
    <w:rsid w:val="00310232"/>
    <w:rsid w:val="00311CAD"/>
    <w:rsid w:val="00314DBE"/>
    <w:rsid w:val="00314F32"/>
    <w:rsid w:val="003151D0"/>
    <w:rsid w:val="00321F76"/>
    <w:rsid w:val="00322254"/>
    <w:rsid w:val="00322A93"/>
    <w:rsid w:val="00322C66"/>
    <w:rsid w:val="00323C7C"/>
    <w:rsid w:val="003245F9"/>
    <w:rsid w:val="00325586"/>
    <w:rsid w:val="00325FA9"/>
    <w:rsid w:val="00331D9C"/>
    <w:rsid w:val="00332160"/>
    <w:rsid w:val="00333492"/>
    <w:rsid w:val="00335C26"/>
    <w:rsid w:val="00340508"/>
    <w:rsid w:val="00342D33"/>
    <w:rsid w:val="00343206"/>
    <w:rsid w:val="0034578B"/>
    <w:rsid w:val="003479E9"/>
    <w:rsid w:val="00350786"/>
    <w:rsid w:val="00350F22"/>
    <w:rsid w:val="00351FBE"/>
    <w:rsid w:val="00353718"/>
    <w:rsid w:val="00356166"/>
    <w:rsid w:val="00360418"/>
    <w:rsid w:val="00362B5C"/>
    <w:rsid w:val="003645D3"/>
    <w:rsid w:val="00364A73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291B"/>
    <w:rsid w:val="00384565"/>
    <w:rsid w:val="0038544A"/>
    <w:rsid w:val="00386577"/>
    <w:rsid w:val="00387F66"/>
    <w:rsid w:val="00387F8A"/>
    <w:rsid w:val="0039532B"/>
    <w:rsid w:val="00396ECE"/>
    <w:rsid w:val="003970BB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0A68"/>
    <w:rsid w:val="003B1065"/>
    <w:rsid w:val="003B21C8"/>
    <w:rsid w:val="003B6D9A"/>
    <w:rsid w:val="003B70C5"/>
    <w:rsid w:val="003B74FF"/>
    <w:rsid w:val="003C1520"/>
    <w:rsid w:val="003C2A58"/>
    <w:rsid w:val="003C5DB3"/>
    <w:rsid w:val="003C71F0"/>
    <w:rsid w:val="003C730E"/>
    <w:rsid w:val="003D033B"/>
    <w:rsid w:val="003D1B76"/>
    <w:rsid w:val="003D7D11"/>
    <w:rsid w:val="003E1D00"/>
    <w:rsid w:val="003E2315"/>
    <w:rsid w:val="003E547C"/>
    <w:rsid w:val="003E7DED"/>
    <w:rsid w:val="003F0A19"/>
    <w:rsid w:val="003F255E"/>
    <w:rsid w:val="003F281A"/>
    <w:rsid w:val="003F2BCD"/>
    <w:rsid w:val="003F3419"/>
    <w:rsid w:val="003F4795"/>
    <w:rsid w:val="003F7AC1"/>
    <w:rsid w:val="0040052A"/>
    <w:rsid w:val="00400B75"/>
    <w:rsid w:val="00401079"/>
    <w:rsid w:val="00402A08"/>
    <w:rsid w:val="004042D4"/>
    <w:rsid w:val="004047B6"/>
    <w:rsid w:val="00405249"/>
    <w:rsid w:val="004059B6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BD4"/>
    <w:rsid w:val="00414C88"/>
    <w:rsid w:val="004150E9"/>
    <w:rsid w:val="004169C4"/>
    <w:rsid w:val="00423151"/>
    <w:rsid w:val="0042321A"/>
    <w:rsid w:val="00423285"/>
    <w:rsid w:val="00424A32"/>
    <w:rsid w:val="004265CB"/>
    <w:rsid w:val="00430942"/>
    <w:rsid w:val="00431568"/>
    <w:rsid w:val="004335DC"/>
    <w:rsid w:val="004349C2"/>
    <w:rsid w:val="00434F10"/>
    <w:rsid w:val="004350E3"/>
    <w:rsid w:val="00436463"/>
    <w:rsid w:val="0043753C"/>
    <w:rsid w:val="004408B6"/>
    <w:rsid w:val="00447699"/>
    <w:rsid w:val="00447ECF"/>
    <w:rsid w:val="00450BB5"/>
    <w:rsid w:val="004513CC"/>
    <w:rsid w:val="0045173D"/>
    <w:rsid w:val="0045612A"/>
    <w:rsid w:val="00457CF5"/>
    <w:rsid w:val="00461269"/>
    <w:rsid w:val="00461667"/>
    <w:rsid w:val="004620DD"/>
    <w:rsid w:val="00464376"/>
    <w:rsid w:val="0046496F"/>
    <w:rsid w:val="004651FC"/>
    <w:rsid w:val="00472196"/>
    <w:rsid w:val="00474809"/>
    <w:rsid w:val="00474E4C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11C0"/>
    <w:rsid w:val="00492193"/>
    <w:rsid w:val="0049265F"/>
    <w:rsid w:val="00492DC2"/>
    <w:rsid w:val="0049318C"/>
    <w:rsid w:val="00494D5C"/>
    <w:rsid w:val="00496990"/>
    <w:rsid w:val="004A5C18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D6522"/>
    <w:rsid w:val="004D78BD"/>
    <w:rsid w:val="004E3452"/>
    <w:rsid w:val="004E3D49"/>
    <w:rsid w:val="004E3DF3"/>
    <w:rsid w:val="004E4BFD"/>
    <w:rsid w:val="004E5C52"/>
    <w:rsid w:val="004E6F4D"/>
    <w:rsid w:val="004F00E9"/>
    <w:rsid w:val="004F0FB8"/>
    <w:rsid w:val="004F2921"/>
    <w:rsid w:val="004F7F58"/>
    <w:rsid w:val="0050199B"/>
    <w:rsid w:val="005019C6"/>
    <w:rsid w:val="00505DC2"/>
    <w:rsid w:val="00510BCC"/>
    <w:rsid w:val="00512F57"/>
    <w:rsid w:val="00513BF1"/>
    <w:rsid w:val="0051458B"/>
    <w:rsid w:val="00517BE8"/>
    <w:rsid w:val="0052692A"/>
    <w:rsid w:val="00533C5F"/>
    <w:rsid w:val="00533EC9"/>
    <w:rsid w:val="0053685D"/>
    <w:rsid w:val="005414DA"/>
    <w:rsid w:val="00542687"/>
    <w:rsid w:val="00542FE2"/>
    <w:rsid w:val="00542FF7"/>
    <w:rsid w:val="0054359A"/>
    <w:rsid w:val="00543A05"/>
    <w:rsid w:val="00547660"/>
    <w:rsid w:val="005517D2"/>
    <w:rsid w:val="00561A66"/>
    <w:rsid w:val="00561BB9"/>
    <w:rsid w:val="005622C7"/>
    <w:rsid w:val="00566DD1"/>
    <w:rsid w:val="00567607"/>
    <w:rsid w:val="00567A5F"/>
    <w:rsid w:val="00567F14"/>
    <w:rsid w:val="005700E3"/>
    <w:rsid w:val="00570243"/>
    <w:rsid w:val="00570755"/>
    <w:rsid w:val="0057243D"/>
    <w:rsid w:val="00575665"/>
    <w:rsid w:val="00582832"/>
    <w:rsid w:val="00582F24"/>
    <w:rsid w:val="00584050"/>
    <w:rsid w:val="00586939"/>
    <w:rsid w:val="005869C3"/>
    <w:rsid w:val="0059061F"/>
    <w:rsid w:val="0059201D"/>
    <w:rsid w:val="0059220B"/>
    <w:rsid w:val="00592B3F"/>
    <w:rsid w:val="005935F0"/>
    <w:rsid w:val="00593CDE"/>
    <w:rsid w:val="00596A3F"/>
    <w:rsid w:val="005A005F"/>
    <w:rsid w:val="005A18B4"/>
    <w:rsid w:val="005A2220"/>
    <w:rsid w:val="005A3A2B"/>
    <w:rsid w:val="005A3FD8"/>
    <w:rsid w:val="005A502F"/>
    <w:rsid w:val="005A55B2"/>
    <w:rsid w:val="005B046E"/>
    <w:rsid w:val="005B1BB4"/>
    <w:rsid w:val="005B1E60"/>
    <w:rsid w:val="005B245F"/>
    <w:rsid w:val="005B28BC"/>
    <w:rsid w:val="005B6138"/>
    <w:rsid w:val="005B6491"/>
    <w:rsid w:val="005B6555"/>
    <w:rsid w:val="005B6A10"/>
    <w:rsid w:val="005C09D5"/>
    <w:rsid w:val="005C2EE7"/>
    <w:rsid w:val="005C2F8D"/>
    <w:rsid w:val="005C664C"/>
    <w:rsid w:val="005C6C38"/>
    <w:rsid w:val="005C75C2"/>
    <w:rsid w:val="005D12ED"/>
    <w:rsid w:val="005D19E3"/>
    <w:rsid w:val="005D2D56"/>
    <w:rsid w:val="005D3B85"/>
    <w:rsid w:val="005D4104"/>
    <w:rsid w:val="005D41BE"/>
    <w:rsid w:val="005E1CDE"/>
    <w:rsid w:val="005E22D4"/>
    <w:rsid w:val="005E292F"/>
    <w:rsid w:val="005E2D1B"/>
    <w:rsid w:val="005E5E9D"/>
    <w:rsid w:val="005F1858"/>
    <w:rsid w:val="005F2C92"/>
    <w:rsid w:val="005F3CDA"/>
    <w:rsid w:val="005F4882"/>
    <w:rsid w:val="005F507F"/>
    <w:rsid w:val="00605FFF"/>
    <w:rsid w:val="00606CA2"/>
    <w:rsid w:val="0060733E"/>
    <w:rsid w:val="00607867"/>
    <w:rsid w:val="00612277"/>
    <w:rsid w:val="006122B3"/>
    <w:rsid w:val="006128BF"/>
    <w:rsid w:val="00613276"/>
    <w:rsid w:val="006155CA"/>
    <w:rsid w:val="0061623B"/>
    <w:rsid w:val="00622867"/>
    <w:rsid w:val="00623603"/>
    <w:rsid w:val="0062427F"/>
    <w:rsid w:val="00624788"/>
    <w:rsid w:val="00624B8A"/>
    <w:rsid w:val="00626A79"/>
    <w:rsid w:val="00630544"/>
    <w:rsid w:val="006333F9"/>
    <w:rsid w:val="00641258"/>
    <w:rsid w:val="0064130A"/>
    <w:rsid w:val="00641432"/>
    <w:rsid w:val="0064400C"/>
    <w:rsid w:val="00644B7D"/>
    <w:rsid w:val="00647504"/>
    <w:rsid w:val="00647C03"/>
    <w:rsid w:val="0065430A"/>
    <w:rsid w:val="00654DE1"/>
    <w:rsid w:val="006554F0"/>
    <w:rsid w:val="00660896"/>
    <w:rsid w:val="00662065"/>
    <w:rsid w:val="00665C9F"/>
    <w:rsid w:val="00667A47"/>
    <w:rsid w:val="0067131B"/>
    <w:rsid w:val="0067250A"/>
    <w:rsid w:val="00674EB9"/>
    <w:rsid w:val="00680A88"/>
    <w:rsid w:val="00680B26"/>
    <w:rsid w:val="00681C96"/>
    <w:rsid w:val="00682014"/>
    <w:rsid w:val="006821F8"/>
    <w:rsid w:val="0068347A"/>
    <w:rsid w:val="006835A4"/>
    <w:rsid w:val="00690B73"/>
    <w:rsid w:val="006914F8"/>
    <w:rsid w:val="00691E43"/>
    <w:rsid w:val="006959CA"/>
    <w:rsid w:val="006A4357"/>
    <w:rsid w:val="006A5BFC"/>
    <w:rsid w:val="006A5FB3"/>
    <w:rsid w:val="006A6375"/>
    <w:rsid w:val="006A7010"/>
    <w:rsid w:val="006B2122"/>
    <w:rsid w:val="006B3233"/>
    <w:rsid w:val="006B3381"/>
    <w:rsid w:val="006B458F"/>
    <w:rsid w:val="006B4A1D"/>
    <w:rsid w:val="006B4D07"/>
    <w:rsid w:val="006B5037"/>
    <w:rsid w:val="006C5AA2"/>
    <w:rsid w:val="006C5C44"/>
    <w:rsid w:val="006C69DD"/>
    <w:rsid w:val="006C6CC8"/>
    <w:rsid w:val="006C7D9A"/>
    <w:rsid w:val="006D0238"/>
    <w:rsid w:val="006D08F3"/>
    <w:rsid w:val="006D2687"/>
    <w:rsid w:val="006D340F"/>
    <w:rsid w:val="006D359D"/>
    <w:rsid w:val="006D4A66"/>
    <w:rsid w:val="006E1652"/>
    <w:rsid w:val="006E3C8D"/>
    <w:rsid w:val="006F146A"/>
    <w:rsid w:val="006F30E8"/>
    <w:rsid w:val="006F451D"/>
    <w:rsid w:val="006F4BBD"/>
    <w:rsid w:val="006F4E24"/>
    <w:rsid w:val="006F7C6C"/>
    <w:rsid w:val="00703BEF"/>
    <w:rsid w:val="007049D6"/>
    <w:rsid w:val="00705ADE"/>
    <w:rsid w:val="00705DBC"/>
    <w:rsid w:val="007064B5"/>
    <w:rsid w:val="00707628"/>
    <w:rsid w:val="00707920"/>
    <w:rsid w:val="00713AB7"/>
    <w:rsid w:val="00714DE9"/>
    <w:rsid w:val="0072031E"/>
    <w:rsid w:val="0072050B"/>
    <w:rsid w:val="00720587"/>
    <w:rsid w:val="00720AF9"/>
    <w:rsid w:val="00720E4C"/>
    <w:rsid w:val="007210E7"/>
    <w:rsid w:val="0072506B"/>
    <w:rsid w:val="007253A4"/>
    <w:rsid w:val="00725C89"/>
    <w:rsid w:val="00726474"/>
    <w:rsid w:val="007266C9"/>
    <w:rsid w:val="007270C1"/>
    <w:rsid w:val="00733979"/>
    <w:rsid w:val="00734D96"/>
    <w:rsid w:val="00735629"/>
    <w:rsid w:val="0073638E"/>
    <w:rsid w:val="00737A74"/>
    <w:rsid w:val="0074098A"/>
    <w:rsid w:val="00740CA5"/>
    <w:rsid w:val="00740D69"/>
    <w:rsid w:val="00741511"/>
    <w:rsid w:val="007428D0"/>
    <w:rsid w:val="0074394C"/>
    <w:rsid w:val="007456C7"/>
    <w:rsid w:val="0074785D"/>
    <w:rsid w:val="007526DA"/>
    <w:rsid w:val="0075375C"/>
    <w:rsid w:val="007537D2"/>
    <w:rsid w:val="0075391E"/>
    <w:rsid w:val="00753F3A"/>
    <w:rsid w:val="00755BC4"/>
    <w:rsid w:val="00755DBC"/>
    <w:rsid w:val="0075618B"/>
    <w:rsid w:val="007562A9"/>
    <w:rsid w:val="00762523"/>
    <w:rsid w:val="007626C3"/>
    <w:rsid w:val="007628C8"/>
    <w:rsid w:val="00764BF9"/>
    <w:rsid w:val="0076560A"/>
    <w:rsid w:val="00765FBF"/>
    <w:rsid w:val="00766267"/>
    <w:rsid w:val="00766EF2"/>
    <w:rsid w:val="00770BD5"/>
    <w:rsid w:val="00770DEB"/>
    <w:rsid w:val="007721F2"/>
    <w:rsid w:val="00772D79"/>
    <w:rsid w:val="00774439"/>
    <w:rsid w:val="00774DC9"/>
    <w:rsid w:val="00775026"/>
    <w:rsid w:val="0078131C"/>
    <w:rsid w:val="00781690"/>
    <w:rsid w:val="007847B2"/>
    <w:rsid w:val="00784AFB"/>
    <w:rsid w:val="0078592C"/>
    <w:rsid w:val="007935F4"/>
    <w:rsid w:val="00794C5B"/>
    <w:rsid w:val="007970A0"/>
    <w:rsid w:val="00797219"/>
    <w:rsid w:val="007A0608"/>
    <w:rsid w:val="007A0865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3E27"/>
    <w:rsid w:val="007B51D8"/>
    <w:rsid w:val="007B5FFB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D6F4B"/>
    <w:rsid w:val="007E06B9"/>
    <w:rsid w:val="007E3E4E"/>
    <w:rsid w:val="007F013B"/>
    <w:rsid w:val="007F07B7"/>
    <w:rsid w:val="007F10F3"/>
    <w:rsid w:val="007F2497"/>
    <w:rsid w:val="007F3F41"/>
    <w:rsid w:val="007F4FFB"/>
    <w:rsid w:val="007F506F"/>
    <w:rsid w:val="007F53BB"/>
    <w:rsid w:val="007F74CB"/>
    <w:rsid w:val="007F775A"/>
    <w:rsid w:val="0080134D"/>
    <w:rsid w:val="008021F8"/>
    <w:rsid w:val="00802F44"/>
    <w:rsid w:val="00804BAE"/>
    <w:rsid w:val="00805046"/>
    <w:rsid w:val="0080512A"/>
    <w:rsid w:val="008103C6"/>
    <w:rsid w:val="00811A7C"/>
    <w:rsid w:val="00812E28"/>
    <w:rsid w:val="00816305"/>
    <w:rsid w:val="00821C91"/>
    <w:rsid w:val="00826241"/>
    <w:rsid w:val="00826BA5"/>
    <w:rsid w:val="00830466"/>
    <w:rsid w:val="00830F56"/>
    <w:rsid w:val="00832577"/>
    <w:rsid w:val="00832B9F"/>
    <w:rsid w:val="0083489D"/>
    <w:rsid w:val="00834EA3"/>
    <w:rsid w:val="008371B1"/>
    <w:rsid w:val="00840B15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1C5C"/>
    <w:rsid w:val="0086228A"/>
    <w:rsid w:val="00862455"/>
    <w:rsid w:val="008626D3"/>
    <w:rsid w:val="00862989"/>
    <w:rsid w:val="00862D10"/>
    <w:rsid w:val="00865013"/>
    <w:rsid w:val="00865E3D"/>
    <w:rsid w:val="00866975"/>
    <w:rsid w:val="00876338"/>
    <w:rsid w:val="0087674D"/>
    <w:rsid w:val="00877654"/>
    <w:rsid w:val="00880A67"/>
    <w:rsid w:val="008817FB"/>
    <w:rsid w:val="00881B0A"/>
    <w:rsid w:val="008831B4"/>
    <w:rsid w:val="008853D2"/>
    <w:rsid w:val="00885C50"/>
    <w:rsid w:val="008861C3"/>
    <w:rsid w:val="008907D5"/>
    <w:rsid w:val="008908F0"/>
    <w:rsid w:val="00892BFA"/>
    <w:rsid w:val="00893CCE"/>
    <w:rsid w:val="00893E81"/>
    <w:rsid w:val="00896043"/>
    <w:rsid w:val="008A02D2"/>
    <w:rsid w:val="008A2F54"/>
    <w:rsid w:val="008A43DE"/>
    <w:rsid w:val="008A4E2F"/>
    <w:rsid w:val="008A6C2A"/>
    <w:rsid w:val="008B13F8"/>
    <w:rsid w:val="008B1F71"/>
    <w:rsid w:val="008B7138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E3107"/>
    <w:rsid w:val="008E3DFA"/>
    <w:rsid w:val="008E4A46"/>
    <w:rsid w:val="008E5938"/>
    <w:rsid w:val="008E5BBB"/>
    <w:rsid w:val="008E6DCF"/>
    <w:rsid w:val="008E7200"/>
    <w:rsid w:val="008E7E3F"/>
    <w:rsid w:val="008F0B8A"/>
    <w:rsid w:val="008F26FA"/>
    <w:rsid w:val="008F77A0"/>
    <w:rsid w:val="008F7988"/>
    <w:rsid w:val="00900197"/>
    <w:rsid w:val="00900314"/>
    <w:rsid w:val="009003ED"/>
    <w:rsid w:val="0090063D"/>
    <w:rsid w:val="00900C9B"/>
    <w:rsid w:val="00902981"/>
    <w:rsid w:val="00902AD4"/>
    <w:rsid w:val="009049F6"/>
    <w:rsid w:val="00904A43"/>
    <w:rsid w:val="00905456"/>
    <w:rsid w:val="00905725"/>
    <w:rsid w:val="00906F6C"/>
    <w:rsid w:val="00907D29"/>
    <w:rsid w:val="009107CE"/>
    <w:rsid w:val="009122B4"/>
    <w:rsid w:val="0091620D"/>
    <w:rsid w:val="00916E76"/>
    <w:rsid w:val="0092112F"/>
    <w:rsid w:val="0092123B"/>
    <w:rsid w:val="00921C09"/>
    <w:rsid w:val="0092452B"/>
    <w:rsid w:val="009258D0"/>
    <w:rsid w:val="009262BF"/>
    <w:rsid w:val="00926ACB"/>
    <w:rsid w:val="00934E4C"/>
    <w:rsid w:val="009379ED"/>
    <w:rsid w:val="00941008"/>
    <w:rsid w:val="00943DDE"/>
    <w:rsid w:val="0094559F"/>
    <w:rsid w:val="00946BC4"/>
    <w:rsid w:val="00950678"/>
    <w:rsid w:val="00950E69"/>
    <w:rsid w:val="0095149C"/>
    <w:rsid w:val="009538EF"/>
    <w:rsid w:val="00956F73"/>
    <w:rsid w:val="00957D9E"/>
    <w:rsid w:val="00957E23"/>
    <w:rsid w:val="00962C81"/>
    <w:rsid w:val="009644F5"/>
    <w:rsid w:val="009702F2"/>
    <w:rsid w:val="00973915"/>
    <w:rsid w:val="00976AFC"/>
    <w:rsid w:val="0097740B"/>
    <w:rsid w:val="00977854"/>
    <w:rsid w:val="00981930"/>
    <w:rsid w:val="009822E2"/>
    <w:rsid w:val="00982447"/>
    <w:rsid w:val="00983649"/>
    <w:rsid w:val="00983FA1"/>
    <w:rsid w:val="009860F7"/>
    <w:rsid w:val="00986CD9"/>
    <w:rsid w:val="009936EE"/>
    <w:rsid w:val="00993E7F"/>
    <w:rsid w:val="00994517"/>
    <w:rsid w:val="00994F74"/>
    <w:rsid w:val="00995112"/>
    <w:rsid w:val="009A2BA7"/>
    <w:rsid w:val="009A2D1E"/>
    <w:rsid w:val="009A30C8"/>
    <w:rsid w:val="009A4139"/>
    <w:rsid w:val="009A4261"/>
    <w:rsid w:val="009A4960"/>
    <w:rsid w:val="009A4F7D"/>
    <w:rsid w:val="009A5130"/>
    <w:rsid w:val="009B2DCC"/>
    <w:rsid w:val="009B435D"/>
    <w:rsid w:val="009C0C42"/>
    <w:rsid w:val="009C15F3"/>
    <w:rsid w:val="009C17AB"/>
    <w:rsid w:val="009C2938"/>
    <w:rsid w:val="009C37C4"/>
    <w:rsid w:val="009C3E5B"/>
    <w:rsid w:val="009C4259"/>
    <w:rsid w:val="009C619E"/>
    <w:rsid w:val="009C6202"/>
    <w:rsid w:val="009D22AD"/>
    <w:rsid w:val="009E1806"/>
    <w:rsid w:val="009E2FD0"/>
    <w:rsid w:val="009E411A"/>
    <w:rsid w:val="009E42EE"/>
    <w:rsid w:val="009E5620"/>
    <w:rsid w:val="009E6E0C"/>
    <w:rsid w:val="009F1703"/>
    <w:rsid w:val="009F2CF6"/>
    <w:rsid w:val="009F3FCF"/>
    <w:rsid w:val="009F4F62"/>
    <w:rsid w:val="009F548D"/>
    <w:rsid w:val="00A0187E"/>
    <w:rsid w:val="00A020BA"/>
    <w:rsid w:val="00A02248"/>
    <w:rsid w:val="00A0298B"/>
    <w:rsid w:val="00A0721F"/>
    <w:rsid w:val="00A0727C"/>
    <w:rsid w:val="00A14791"/>
    <w:rsid w:val="00A15049"/>
    <w:rsid w:val="00A161DB"/>
    <w:rsid w:val="00A165C1"/>
    <w:rsid w:val="00A16EDA"/>
    <w:rsid w:val="00A206D2"/>
    <w:rsid w:val="00A21249"/>
    <w:rsid w:val="00A2201F"/>
    <w:rsid w:val="00A22D9A"/>
    <w:rsid w:val="00A24EB1"/>
    <w:rsid w:val="00A30569"/>
    <w:rsid w:val="00A329EE"/>
    <w:rsid w:val="00A3375C"/>
    <w:rsid w:val="00A36066"/>
    <w:rsid w:val="00A372EC"/>
    <w:rsid w:val="00A37D45"/>
    <w:rsid w:val="00A41725"/>
    <w:rsid w:val="00A41B7E"/>
    <w:rsid w:val="00A436F6"/>
    <w:rsid w:val="00A4586A"/>
    <w:rsid w:val="00A45AD5"/>
    <w:rsid w:val="00A46F78"/>
    <w:rsid w:val="00A47A61"/>
    <w:rsid w:val="00A51C80"/>
    <w:rsid w:val="00A534F2"/>
    <w:rsid w:val="00A5428C"/>
    <w:rsid w:val="00A55BC5"/>
    <w:rsid w:val="00A605BB"/>
    <w:rsid w:val="00A61E93"/>
    <w:rsid w:val="00A64D49"/>
    <w:rsid w:val="00A66D4B"/>
    <w:rsid w:val="00A71848"/>
    <w:rsid w:val="00A71D37"/>
    <w:rsid w:val="00A72903"/>
    <w:rsid w:val="00A72E8E"/>
    <w:rsid w:val="00A741A3"/>
    <w:rsid w:val="00A756E9"/>
    <w:rsid w:val="00A777B0"/>
    <w:rsid w:val="00A80548"/>
    <w:rsid w:val="00A82AF0"/>
    <w:rsid w:val="00A838C8"/>
    <w:rsid w:val="00A854AD"/>
    <w:rsid w:val="00A8631F"/>
    <w:rsid w:val="00A90A0B"/>
    <w:rsid w:val="00A9334F"/>
    <w:rsid w:val="00A93D7A"/>
    <w:rsid w:val="00A97BB8"/>
    <w:rsid w:val="00AA1B80"/>
    <w:rsid w:val="00AA2133"/>
    <w:rsid w:val="00AA4F01"/>
    <w:rsid w:val="00AA5720"/>
    <w:rsid w:val="00AA79FD"/>
    <w:rsid w:val="00AB17A5"/>
    <w:rsid w:val="00AB24EE"/>
    <w:rsid w:val="00AB361D"/>
    <w:rsid w:val="00AB40BB"/>
    <w:rsid w:val="00AB45EF"/>
    <w:rsid w:val="00AB4A8A"/>
    <w:rsid w:val="00AB5EFA"/>
    <w:rsid w:val="00AB7B70"/>
    <w:rsid w:val="00AC180B"/>
    <w:rsid w:val="00AC3FA4"/>
    <w:rsid w:val="00AC4405"/>
    <w:rsid w:val="00AC5485"/>
    <w:rsid w:val="00AC74E0"/>
    <w:rsid w:val="00AD07A8"/>
    <w:rsid w:val="00AD2DDC"/>
    <w:rsid w:val="00AD5064"/>
    <w:rsid w:val="00AD519D"/>
    <w:rsid w:val="00AD6F27"/>
    <w:rsid w:val="00AE1392"/>
    <w:rsid w:val="00AE609B"/>
    <w:rsid w:val="00AE62CA"/>
    <w:rsid w:val="00AE6871"/>
    <w:rsid w:val="00AF1456"/>
    <w:rsid w:val="00AF2573"/>
    <w:rsid w:val="00AF348B"/>
    <w:rsid w:val="00AF37A6"/>
    <w:rsid w:val="00AF4C8B"/>
    <w:rsid w:val="00AF563E"/>
    <w:rsid w:val="00AF570F"/>
    <w:rsid w:val="00AF5C37"/>
    <w:rsid w:val="00AF6EBC"/>
    <w:rsid w:val="00AF6F43"/>
    <w:rsid w:val="00B00F83"/>
    <w:rsid w:val="00B01EF2"/>
    <w:rsid w:val="00B028F5"/>
    <w:rsid w:val="00B04271"/>
    <w:rsid w:val="00B064D8"/>
    <w:rsid w:val="00B07B2B"/>
    <w:rsid w:val="00B105FA"/>
    <w:rsid w:val="00B13AF7"/>
    <w:rsid w:val="00B14D1F"/>
    <w:rsid w:val="00B16753"/>
    <w:rsid w:val="00B21B46"/>
    <w:rsid w:val="00B22C5E"/>
    <w:rsid w:val="00B25351"/>
    <w:rsid w:val="00B25542"/>
    <w:rsid w:val="00B26483"/>
    <w:rsid w:val="00B26EC0"/>
    <w:rsid w:val="00B275D2"/>
    <w:rsid w:val="00B326A6"/>
    <w:rsid w:val="00B33877"/>
    <w:rsid w:val="00B375E0"/>
    <w:rsid w:val="00B37CA9"/>
    <w:rsid w:val="00B4189F"/>
    <w:rsid w:val="00B42CEC"/>
    <w:rsid w:val="00B45124"/>
    <w:rsid w:val="00B45F94"/>
    <w:rsid w:val="00B466DA"/>
    <w:rsid w:val="00B46876"/>
    <w:rsid w:val="00B4690A"/>
    <w:rsid w:val="00B52085"/>
    <w:rsid w:val="00B5300F"/>
    <w:rsid w:val="00B54AC1"/>
    <w:rsid w:val="00B56F12"/>
    <w:rsid w:val="00B57C86"/>
    <w:rsid w:val="00B61046"/>
    <w:rsid w:val="00B6508F"/>
    <w:rsid w:val="00B671B5"/>
    <w:rsid w:val="00B67A90"/>
    <w:rsid w:val="00B7030D"/>
    <w:rsid w:val="00B70E21"/>
    <w:rsid w:val="00B7324A"/>
    <w:rsid w:val="00B7556A"/>
    <w:rsid w:val="00B76654"/>
    <w:rsid w:val="00B84B46"/>
    <w:rsid w:val="00B84C1A"/>
    <w:rsid w:val="00B86606"/>
    <w:rsid w:val="00B86B65"/>
    <w:rsid w:val="00B90B3C"/>
    <w:rsid w:val="00B9118D"/>
    <w:rsid w:val="00B92DA5"/>
    <w:rsid w:val="00B93510"/>
    <w:rsid w:val="00B93756"/>
    <w:rsid w:val="00B93797"/>
    <w:rsid w:val="00B93EE0"/>
    <w:rsid w:val="00B94B6E"/>
    <w:rsid w:val="00B96F48"/>
    <w:rsid w:val="00B96F9C"/>
    <w:rsid w:val="00BA55F8"/>
    <w:rsid w:val="00BB15CC"/>
    <w:rsid w:val="00BB1A60"/>
    <w:rsid w:val="00BB2EBD"/>
    <w:rsid w:val="00BB3716"/>
    <w:rsid w:val="00BB4954"/>
    <w:rsid w:val="00BB7A45"/>
    <w:rsid w:val="00BC185E"/>
    <w:rsid w:val="00BC5211"/>
    <w:rsid w:val="00BC6306"/>
    <w:rsid w:val="00BC6944"/>
    <w:rsid w:val="00BD3CCF"/>
    <w:rsid w:val="00BE0D4A"/>
    <w:rsid w:val="00BE1BDD"/>
    <w:rsid w:val="00BE273E"/>
    <w:rsid w:val="00BE319B"/>
    <w:rsid w:val="00BE785C"/>
    <w:rsid w:val="00BF1AA8"/>
    <w:rsid w:val="00BF6710"/>
    <w:rsid w:val="00C0044C"/>
    <w:rsid w:val="00C010C1"/>
    <w:rsid w:val="00C011D2"/>
    <w:rsid w:val="00C027B5"/>
    <w:rsid w:val="00C031C9"/>
    <w:rsid w:val="00C04032"/>
    <w:rsid w:val="00C040B8"/>
    <w:rsid w:val="00C0468B"/>
    <w:rsid w:val="00C04830"/>
    <w:rsid w:val="00C05813"/>
    <w:rsid w:val="00C06C87"/>
    <w:rsid w:val="00C0744A"/>
    <w:rsid w:val="00C07454"/>
    <w:rsid w:val="00C109E3"/>
    <w:rsid w:val="00C10DD6"/>
    <w:rsid w:val="00C12019"/>
    <w:rsid w:val="00C12A32"/>
    <w:rsid w:val="00C13EE3"/>
    <w:rsid w:val="00C150D6"/>
    <w:rsid w:val="00C213AD"/>
    <w:rsid w:val="00C2179D"/>
    <w:rsid w:val="00C21DEE"/>
    <w:rsid w:val="00C2404E"/>
    <w:rsid w:val="00C253D8"/>
    <w:rsid w:val="00C256A5"/>
    <w:rsid w:val="00C309AF"/>
    <w:rsid w:val="00C31867"/>
    <w:rsid w:val="00C35889"/>
    <w:rsid w:val="00C359DA"/>
    <w:rsid w:val="00C35F31"/>
    <w:rsid w:val="00C37B7F"/>
    <w:rsid w:val="00C40726"/>
    <w:rsid w:val="00C40D88"/>
    <w:rsid w:val="00C416B9"/>
    <w:rsid w:val="00C4199E"/>
    <w:rsid w:val="00C44B41"/>
    <w:rsid w:val="00C466EE"/>
    <w:rsid w:val="00C46926"/>
    <w:rsid w:val="00C51FB6"/>
    <w:rsid w:val="00C52127"/>
    <w:rsid w:val="00C5542B"/>
    <w:rsid w:val="00C5726B"/>
    <w:rsid w:val="00C60D99"/>
    <w:rsid w:val="00C61003"/>
    <w:rsid w:val="00C61BC2"/>
    <w:rsid w:val="00C6394E"/>
    <w:rsid w:val="00C63FAE"/>
    <w:rsid w:val="00C644A9"/>
    <w:rsid w:val="00C64CE5"/>
    <w:rsid w:val="00C6583B"/>
    <w:rsid w:val="00C65CC4"/>
    <w:rsid w:val="00C70D53"/>
    <w:rsid w:val="00C82372"/>
    <w:rsid w:val="00C826FA"/>
    <w:rsid w:val="00C83CB8"/>
    <w:rsid w:val="00C847E4"/>
    <w:rsid w:val="00C87CB2"/>
    <w:rsid w:val="00C91D0E"/>
    <w:rsid w:val="00C925B4"/>
    <w:rsid w:val="00C943EB"/>
    <w:rsid w:val="00C96476"/>
    <w:rsid w:val="00C974BD"/>
    <w:rsid w:val="00C97831"/>
    <w:rsid w:val="00CA113B"/>
    <w:rsid w:val="00CA1297"/>
    <w:rsid w:val="00CA4E4F"/>
    <w:rsid w:val="00CA4F40"/>
    <w:rsid w:val="00CA52C2"/>
    <w:rsid w:val="00CA54CA"/>
    <w:rsid w:val="00CA6E03"/>
    <w:rsid w:val="00CA7897"/>
    <w:rsid w:val="00CB0720"/>
    <w:rsid w:val="00CB7ABE"/>
    <w:rsid w:val="00CB7E83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2D36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0EC"/>
    <w:rsid w:val="00D01D0C"/>
    <w:rsid w:val="00D03C2B"/>
    <w:rsid w:val="00D0417F"/>
    <w:rsid w:val="00D06729"/>
    <w:rsid w:val="00D0749D"/>
    <w:rsid w:val="00D103E1"/>
    <w:rsid w:val="00D10614"/>
    <w:rsid w:val="00D11029"/>
    <w:rsid w:val="00D16385"/>
    <w:rsid w:val="00D17C8D"/>
    <w:rsid w:val="00D21F5B"/>
    <w:rsid w:val="00D22DF5"/>
    <w:rsid w:val="00D22FC6"/>
    <w:rsid w:val="00D23183"/>
    <w:rsid w:val="00D240AA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70AF"/>
    <w:rsid w:val="00D477FA"/>
    <w:rsid w:val="00D504AA"/>
    <w:rsid w:val="00D52526"/>
    <w:rsid w:val="00D52886"/>
    <w:rsid w:val="00D565AB"/>
    <w:rsid w:val="00D56764"/>
    <w:rsid w:val="00D56B78"/>
    <w:rsid w:val="00D5772E"/>
    <w:rsid w:val="00D61068"/>
    <w:rsid w:val="00D61C4D"/>
    <w:rsid w:val="00D61E16"/>
    <w:rsid w:val="00D63FE1"/>
    <w:rsid w:val="00D6517A"/>
    <w:rsid w:val="00D65C94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1F13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2AE1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4671"/>
    <w:rsid w:val="00DB49CA"/>
    <w:rsid w:val="00DB50CA"/>
    <w:rsid w:val="00DB5805"/>
    <w:rsid w:val="00DB594D"/>
    <w:rsid w:val="00DB7044"/>
    <w:rsid w:val="00DC20F6"/>
    <w:rsid w:val="00DC235F"/>
    <w:rsid w:val="00DC3DBE"/>
    <w:rsid w:val="00DC4E84"/>
    <w:rsid w:val="00DC5D74"/>
    <w:rsid w:val="00DC608A"/>
    <w:rsid w:val="00DC6091"/>
    <w:rsid w:val="00DC6F15"/>
    <w:rsid w:val="00DC72ED"/>
    <w:rsid w:val="00DD03D9"/>
    <w:rsid w:val="00DD1856"/>
    <w:rsid w:val="00DD1C07"/>
    <w:rsid w:val="00DE2D08"/>
    <w:rsid w:val="00DE37D3"/>
    <w:rsid w:val="00DE47B5"/>
    <w:rsid w:val="00DE7CE0"/>
    <w:rsid w:val="00DF1142"/>
    <w:rsid w:val="00DF3564"/>
    <w:rsid w:val="00DF69C2"/>
    <w:rsid w:val="00DF6BEA"/>
    <w:rsid w:val="00DF7585"/>
    <w:rsid w:val="00E00999"/>
    <w:rsid w:val="00E009F3"/>
    <w:rsid w:val="00E04E1B"/>
    <w:rsid w:val="00E050F4"/>
    <w:rsid w:val="00E077AB"/>
    <w:rsid w:val="00E1061B"/>
    <w:rsid w:val="00E12A71"/>
    <w:rsid w:val="00E1500A"/>
    <w:rsid w:val="00E16AAB"/>
    <w:rsid w:val="00E174B2"/>
    <w:rsid w:val="00E21685"/>
    <w:rsid w:val="00E2246F"/>
    <w:rsid w:val="00E235A9"/>
    <w:rsid w:val="00E239C8"/>
    <w:rsid w:val="00E23B36"/>
    <w:rsid w:val="00E23F29"/>
    <w:rsid w:val="00E24BE4"/>
    <w:rsid w:val="00E264DE"/>
    <w:rsid w:val="00E35FA3"/>
    <w:rsid w:val="00E42C72"/>
    <w:rsid w:val="00E43B4C"/>
    <w:rsid w:val="00E45982"/>
    <w:rsid w:val="00E45B40"/>
    <w:rsid w:val="00E462EB"/>
    <w:rsid w:val="00E50963"/>
    <w:rsid w:val="00E5210A"/>
    <w:rsid w:val="00E52653"/>
    <w:rsid w:val="00E60BFA"/>
    <w:rsid w:val="00E60F40"/>
    <w:rsid w:val="00E64976"/>
    <w:rsid w:val="00E6685B"/>
    <w:rsid w:val="00E67FF3"/>
    <w:rsid w:val="00E73070"/>
    <w:rsid w:val="00E75BCC"/>
    <w:rsid w:val="00E77F8A"/>
    <w:rsid w:val="00E81465"/>
    <w:rsid w:val="00E824B1"/>
    <w:rsid w:val="00E83681"/>
    <w:rsid w:val="00E8387E"/>
    <w:rsid w:val="00E861AF"/>
    <w:rsid w:val="00E86332"/>
    <w:rsid w:val="00E908E8"/>
    <w:rsid w:val="00E9109B"/>
    <w:rsid w:val="00E911B9"/>
    <w:rsid w:val="00E91672"/>
    <w:rsid w:val="00E922A5"/>
    <w:rsid w:val="00E929EE"/>
    <w:rsid w:val="00E95691"/>
    <w:rsid w:val="00E95E82"/>
    <w:rsid w:val="00E95FF4"/>
    <w:rsid w:val="00E979A3"/>
    <w:rsid w:val="00EA00A2"/>
    <w:rsid w:val="00EA015A"/>
    <w:rsid w:val="00EA1F93"/>
    <w:rsid w:val="00EA2512"/>
    <w:rsid w:val="00EA35A2"/>
    <w:rsid w:val="00EA5FED"/>
    <w:rsid w:val="00EA64CA"/>
    <w:rsid w:val="00EB01F2"/>
    <w:rsid w:val="00EB22D4"/>
    <w:rsid w:val="00EB3172"/>
    <w:rsid w:val="00EB40CD"/>
    <w:rsid w:val="00EB490A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0A"/>
    <w:rsid w:val="00EE1E73"/>
    <w:rsid w:val="00EE6E7D"/>
    <w:rsid w:val="00EE7DF7"/>
    <w:rsid w:val="00EF0154"/>
    <w:rsid w:val="00EF3BD2"/>
    <w:rsid w:val="00EF466F"/>
    <w:rsid w:val="00EF5379"/>
    <w:rsid w:val="00EF62AB"/>
    <w:rsid w:val="00EF63D6"/>
    <w:rsid w:val="00F00EE7"/>
    <w:rsid w:val="00F01053"/>
    <w:rsid w:val="00F04375"/>
    <w:rsid w:val="00F0599A"/>
    <w:rsid w:val="00F05A02"/>
    <w:rsid w:val="00F06856"/>
    <w:rsid w:val="00F10952"/>
    <w:rsid w:val="00F11110"/>
    <w:rsid w:val="00F114BA"/>
    <w:rsid w:val="00F1203D"/>
    <w:rsid w:val="00F1349E"/>
    <w:rsid w:val="00F1596F"/>
    <w:rsid w:val="00F15FC4"/>
    <w:rsid w:val="00F27356"/>
    <w:rsid w:val="00F278A7"/>
    <w:rsid w:val="00F3184E"/>
    <w:rsid w:val="00F33FE4"/>
    <w:rsid w:val="00F40CD0"/>
    <w:rsid w:val="00F42801"/>
    <w:rsid w:val="00F42ABC"/>
    <w:rsid w:val="00F44603"/>
    <w:rsid w:val="00F447B3"/>
    <w:rsid w:val="00F46C04"/>
    <w:rsid w:val="00F5214A"/>
    <w:rsid w:val="00F54639"/>
    <w:rsid w:val="00F55F5A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48C"/>
    <w:rsid w:val="00F657B6"/>
    <w:rsid w:val="00F65A8A"/>
    <w:rsid w:val="00F71A83"/>
    <w:rsid w:val="00F726B0"/>
    <w:rsid w:val="00F72857"/>
    <w:rsid w:val="00F73647"/>
    <w:rsid w:val="00F74985"/>
    <w:rsid w:val="00F754F2"/>
    <w:rsid w:val="00F767A3"/>
    <w:rsid w:val="00F7698D"/>
    <w:rsid w:val="00F77560"/>
    <w:rsid w:val="00F7759D"/>
    <w:rsid w:val="00F832F2"/>
    <w:rsid w:val="00F84079"/>
    <w:rsid w:val="00F84AE7"/>
    <w:rsid w:val="00F92B32"/>
    <w:rsid w:val="00F9440D"/>
    <w:rsid w:val="00F97B2E"/>
    <w:rsid w:val="00F97F3E"/>
    <w:rsid w:val="00FA22CD"/>
    <w:rsid w:val="00FA2CBA"/>
    <w:rsid w:val="00FA54E4"/>
    <w:rsid w:val="00FA5AD7"/>
    <w:rsid w:val="00FB143B"/>
    <w:rsid w:val="00FB1541"/>
    <w:rsid w:val="00FB1D62"/>
    <w:rsid w:val="00FB1E84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06C"/>
    <w:rsid w:val="00FC753D"/>
    <w:rsid w:val="00FD04F9"/>
    <w:rsid w:val="00FD1ED0"/>
    <w:rsid w:val="00FD2558"/>
    <w:rsid w:val="00FD4559"/>
    <w:rsid w:val="00FE189F"/>
    <w:rsid w:val="00FE4C5C"/>
    <w:rsid w:val="00FF0010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ptucolatin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1606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11597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Nelber da Silva Martins</cp:lastModifiedBy>
  <cp:revision>197</cp:revision>
  <cp:lastPrinted>2024-09-27T17:37:00Z</cp:lastPrinted>
  <dcterms:created xsi:type="dcterms:W3CDTF">2024-09-27T12:44:00Z</dcterms:created>
  <dcterms:modified xsi:type="dcterms:W3CDTF">2024-09-27T17:37:00Z</dcterms:modified>
</cp:coreProperties>
</file>