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39A9B4F9" w:rsidR="00713AB7" w:rsidRPr="003D1B76" w:rsidRDefault="007F249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14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06DADF51" w:rsidR="00713AB7" w:rsidRPr="003D1B76" w:rsidRDefault="0017159E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3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  <w:r w:rsidR="00794C5B">
              <w:rPr>
                <w:rFonts w:ascii="Verdana" w:hAnsi="Verdana" w:cs="Arial"/>
                <w:b/>
              </w:rPr>
              <w:t>s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DA2AE1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DA2AE1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DA2AE1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3D1B76" w:rsidRDefault="00477834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BBAF75" w14:textId="6184ECD0" w:rsidR="00B275D2" w:rsidRPr="00DA2AE1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DA2AE1">
              <w:rPr>
                <w:rFonts w:ascii="Arial" w:hAnsi="Arial" w:cs="Arial"/>
                <w:sz w:val="24"/>
                <w:szCs w:val="24"/>
              </w:rPr>
              <w:t>a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DA2AE1">
              <w:rPr>
                <w:rFonts w:ascii="Arial" w:hAnsi="Arial" w:cs="Arial"/>
                <w:sz w:val="24"/>
                <w:szCs w:val="24"/>
              </w:rPr>
              <w:t>ão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2AE1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DA2AE1">
              <w:rPr>
                <w:rFonts w:ascii="Arial" w:hAnsi="Arial" w:cs="Arial"/>
                <w:sz w:val="24"/>
                <w:szCs w:val="24"/>
              </w:rPr>
              <w:t>,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DA2AE1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DA2AE1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133472" w:rsidRPr="00DA2AE1">
              <w:rPr>
                <w:rFonts w:ascii="Arial" w:hAnsi="Arial" w:cs="Arial"/>
                <w:b/>
                <w:bCs/>
                <w:sz w:val="24"/>
                <w:szCs w:val="24"/>
              </w:rPr>
              <w:t>2024-845NMX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DA2A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133472" w:rsidRPr="00DA2AE1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DA2AE1">
              <w:rPr>
                <w:rFonts w:ascii="Arial" w:hAnsi="Arial" w:cs="Arial"/>
                <w:sz w:val="24"/>
                <w:szCs w:val="24"/>
              </w:rPr>
              <w:t>procederam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DA2AE1">
              <w:rPr>
                <w:rFonts w:ascii="Arial" w:hAnsi="Arial" w:cs="Arial"/>
                <w:sz w:val="24"/>
                <w:szCs w:val="24"/>
              </w:rPr>
              <w:t>ao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DA2AE1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DA2AE1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DA2AE1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DA2A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DA2AE1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60437CD0" w:rsidR="00B275D2" w:rsidRPr="00DA2AE1" w:rsidRDefault="00740D69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2AE1">
              <w:rPr>
                <w:rFonts w:ascii="Arial" w:hAnsi="Arial" w:cs="Arial"/>
                <w:b/>
                <w:sz w:val="24"/>
                <w:szCs w:val="24"/>
              </w:rPr>
              <w:t>DILIGÊNCIA EM ANDAMENTO</w:t>
            </w:r>
            <w:r w:rsidR="00B275D2" w:rsidRPr="00DA2A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77777777" w:rsidR="00A329EE" w:rsidRPr="00DA2AE1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286B6A63" w:rsidR="00A329EE" w:rsidRPr="00DA2AE1" w:rsidRDefault="00740D69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b/>
                <w:bCs/>
                <w:sz w:val="24"/>
                <w:szCs w:val="24"/>
              </w:rPr>
              <w:t>ALEXSANDER PRETTI DOMINGOS</w:t>
            </w:r>
            <w:r w:rsidR="00CF47CE" w:rsidRPr="00DA2AE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DA2AE1" w:rsidRDefault="008908F0" w:rsidP="00206F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3A6431" w14:textId="5D689EE6" w:rsidR="006C5C44" w:rsidRPr="00DA2AE1" w:rsidRDefault="00607867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>Não foi encaminhado o Cadastro Mobiliário relativo ao domicílio ou sede do licitante, constante do tópico 1.1.3 do edital em apreço</w:t>
            </w:r>
            <w:r w:rsidR="00DF1142" w:rsidRPr="00DA2AE1">
              <w:rPr>
                <w:rFonts w:ascii="Arial" w:hAnsi="Arial" w:cs="Arial"/>
                <w:sz w:val="24"/>
                <w:szCs w:val="24"/>
              </w:rPr>
              <w:t>, o que requer diligência para fornecimento do documento em tela.</w:t>
            </w:r>
            <w:r w:rsidR="00A24EB1"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32E48B" w14:textId="77777777" w:rsidR="00DF1142" w:rsidRPr="00DA2AE1" w:rsidRDefault="00B25542" w:rsidP="00DF1142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 xml:space="preserve">O edital em referência, no tópico </w:t>
            </w:r>
            <w:r w:rsidR="00F42ABC" w:rsidRPr="00DA2AE1">
              <w:rPr>
                <w:rFonts w:ascii="Arial" w:hAnsi="Arial" w:cs="Arial"/>
                <w:sz w:val="24"/>
                <w:szCs w:val="24"/>
              </w:rPr>
              <w:t xml:space="preserve">1.1.4, a.2, exige que o atestado de capacidade técnica informe o total de lotes arrematados, não apenas o total de lotes anunciados, o que não foi observado pelo </w:t>
            </w:r>
            <w:r w:rsidR="00E91672" w:rsidRPr="00DA2AE1">
              <w:rPr>
                <w:rFonts w:ascii="Arial" w:hAnsi="Arial" w:cs="Arial"/>
                <w:sz w:val="24"/>
                <w:szCs w:val="24"/>
              </w:rPr>
              <w:t>requerente</w:t>
            </w:r>
            <w:r w:rsidR="008626D3" w:rsidRPr="00DA2AE1">
              <w:rPr>
                <w:rFonts w:ascii="Arial" w:hAnsi="Arial" w:cs="Arial"/>
                <w:sz w:val="24"/>
                <w:szCs w:val="24"/>
              </w:rPr>
              <w:t xml:space="preserve"> no atestado providenciado</w:t>
            </w:r>
            <w:r w:rsidR="00DF1142" w:rsidRPr="00DA2A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F1142" w:rsidRPr="00DA2AE1">
              <w:rPr>
                <w:rFonts w:ascii="Arial" w:hAnsi="Arial" w:cs="Arial"/>
                <w:sz w:val="24"/>
                <w:szCs w:val="24"/>
              </w:rPr>
              <w:t xml:space="preserve">o que requer diligência para fornecimento do documento em tela. </w:t>
            </w:r>
          </w:p>
          <w:p w14:paraId="75EC9EAE" w14:textId="4FADF63D" w:rsidR="00405249" w:rsidRPr="00DA2AE1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00514346" w:rsidR="00B93EE0" w:rsidRPr="00DA2AE1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2AE1">
              <w:rPr>
                <w:rFonts w:ascii="Arial" w:hAnsi="Arial" w:cs="Arial"/>
                <w:b/>
                <w:sz w:val="24"/>
                <w:szCs w:val="24"/>
              </w:rPr>
              <w:t>RESULTADO D</w:t>
            </w:r>
            <w:r w:rsidR="00414BD4" w:rsidRPr="00DA2AE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A2A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4BD4" w:rsidRPr="00DA2AE1">
              <w:rPr>
                <w:rFonts w:ascii="Arial" w:hAnsi="Arial" w:cs="Arial"/>
                <w:b/>
                <w:sz w:val="24"/>
                <w:szCs w:val="24"/>
              </w:rPr>
              <w:t>ANÁLISE</w:t>
            </w:r>
            <w:r w:rsidRPr="00DA2AE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3BB41F94" w14:textId="77777777" w:rsidR="00414BD4" w:rsidRPr="00DA2AE1" w:rsidRDefault="00414BD4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F2B275" w14:textId="396B6A34" w:rsidR="008908F0" w:rsidRPr="00DA2AE1" w:rsidRDefault="00D240AA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 xml:space="preserve">Em ato de diligência, solicitamos providenciar o Cadastro Mobiliário, relativo ao domicílio ou sede do licitante, constante do tópico 1.1.3 do edital em apreço, bem como comprovar, junto ao remetente </w:t>
            </w:r>
            <w:r w:rsidR="00DF1142" w:rsidRPr="00DA2AE1">
              <w:rPr>
                <w:rFonts w:ascii="Arial" w:hAnsi="Arial" w:cs="Arial"/>
                <w:sz w:val="24"/>
                <w:szCs w:val="24"/>
              </w:rPr>
              <w:t xml:space="preserve">do atestado de capacidade técnica 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(constando todos os dados deste exigidos no tópico 1.1.4.a.1 do edital em tela), </w:t>
            </w:r>
            <w:r w:rsidR="0046496F" w:rsidRPr="00DA2AE1">
              <w:rPr>
                <w:rFonts w:ascii="Arial" w:hAnsi="Arial" w:cs="Arial"/>
                <w:sz w:val="24"/>
                <w:szCs w:val="24"/>
              </w:rPr>
              <w:t xml:space="preserve">quantos lotes foram efetivamente arrematados, referente especificamente ao atestado fornecido pelo requerente.  </w:t>
            </w:r>
          </w:p>
          <w:p w14:paraId="3529671D" w14:textId="77777777" w:rsidR="00423285" w:rsidRPr="00DA2AE1" w:rsidRDefault="00423285" w:rsidP="004232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AFD3E0" w14:textId="6C312A1C" w:rsidR="00414BD4" w:rsidRPr="00DA2AE1" w:rsidRDefault="00414BD4" w:rsidP="004232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 xml:space="preserve">O requerimento de credenciamento ao Edital de Credenciamento 001/2024, da lavra do Leiloeiro </w:t>
            </w:r>
            <w:r w:rsidRPr="00DA2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ALEXSANDER PRETTI DOMINGOS 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foi recebido e analisado pela Comissão, culminando com o </w:t>
            </w:r>
            <w:r w:rsidRPr="00DA2AE1">
              <w:rPr>
                <w:rFonts w:ascii="Arial" w:hAnsi="Arial" w:cs="Arial"/>
                <w:b/>
                <w:bCs/>
                <w:sz w:val="24"/>
                <w:szCs w:val="24"/>
              </w:rPr>
              <w:t>SOBRESTAMENTO</w:t>
            </w:r>
            <w:r w:rsidRPr="00DA2AE1">
              <w:rPr>
                <w:rFonts w:ascii="Arial" w:hAnsi="Arial" w:cs="Arial"/>
                <w:sz w:val="24"/>
                <w:szCs w:val="24"/>
              </w:rPr>
              <w:t>, à unanimidade, para cumprimento da diligência supracitada.</w:t>
            </w:r>
          </w:p>
          <w:p w14:paraId="7B37F875" w14:textId="2D439731" w:rsidR="00414BD4" w:rsidRPr="00DA2AE1" w:rsidRDefault="00414BD4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79A73077" w:rsidR="001837B3" w:rsidRPr="003D1B76" w:rsidRDefault="001837B3" w:rsidP="00CF47C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>Desta forma, estamos no aguardo do cumprimento da</w:t>
            </w:r>
            <w:r w:rsidR="00DF1142" w:rsidRPr="00DA2AE1">
              <w:rPr>
                <w:rFonts w:ascii="Arial" w:hAnsi="Arial" w:cs="Arial"/>
                <w:sz w:val="24"/>
                <w:szCs w:val="24"/>
              </w:rPr>
              <w:t>s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diligência</w:t>
            </w:r>
            <w:r w:rsidR="00DF1142" w:rsidRPr="00DA2AE1">
              <w:rPr>
                <w:rFonts w:ascii="Arial" w:hAnsi="Arial" w:cs="Arial"/>
                <w:sz w:val="24"/>
                <w:szCs w:val="24"/>
              </w:rPr>
              <w:t>s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pelo requerente interessado.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0E6E83FF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0E327B">
            <w:rPr>
              <w:rFonts w:ascii="Arial" w:hAnsi="Arial" w:cs="Arial"/>
              <w:b/>
              <w:smallCaps/>
              <w:sz w:val="28"/>
              <w:szCs w:val="26"/>
            </w:rPr>
            <w:t>05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4916AB14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C416B9">
            <w:rPr>
              <w:rFonts w:ascii="Arial" w:hAnsi="Arial" w:cs="Arial"/>
              <w:b/>
              <w:smallCaps/>
              <w:sz w:val="28"/>
              <w:szCs w:val="26"/>
            </w:rPr>
            <w:t>19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1207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27B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079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3472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159E"/>
    <w:rsid w:val="0017452F"/>
    <w:rsid w:val="00174B8A"/>
    <w:rsid w:val="00175F3E"/>
    <w:rsid w:val="001837B3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6FEE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0F22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BD4"/>
    <w:rsid w:val="00414C88"/>
    <w:rsid w:val="004150E9"/>
    <w:rsid w:val="004169C4"/>
    <w:rsid w:val="00423151"/>
    <w:rsid w:val="0042321A"/>
    <w:rsid w:val="00423285"/>
    <w:rsid w:val="00424A32"/>
    <w:rsid w:val="004265CB"/>
    <w:rsid w:val="00430942"/>
    <w:rsid w:val="00431568"/>
    <w:rsid w:val="004335DC"/>
    <w:rsid w:val="004349C2"/>
    <w:rsid w:val="00434F10"/>
    <w:rsid w:val="004350E3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496F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2DC2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458B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07867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47C03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959C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0D69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4C5B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2497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455"/>
    <w:rsid w:val="008626D3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3F8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49F6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24EB1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56E9"/>
    <w:rsid w:val="00A777B0"/>
    <w:rsid w:val="00A80548"/>
    <w:rsid w:val="00A82AF0"/>
    <w:rsid w:val="00A838C8"/>
    <w:rsid w:val="00A854AD"/>
    <w:rsid w:val="00A8631F"/>
    <w:rsid w:val="00A90A0B"/>
    <w:rsid w:val="00A9334F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548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5351"/>
    <w:rsid w:val="00B25542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76654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889"/>
    <w:rsid w:val="00C359DA"/>
    <w:rsid w:val="00C37B7F"/>
    <w:rsid w:val="00C40726"/>
    <w:rsid w:val="00C40D88"/>
    <w:rsid w:val="00C416B9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240AA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2AE1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1142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1672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5379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2ABC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2479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23</cp:revision>
  <cp:lastPrinted>2021-02-12T14:29:00Z</cp:lastPrinted>
  <dcterms:created xsi:type="dcterms:W3CDTF">2024-09-20T13:51:00Z</dcterms:created>
  <dcterms:modified xsi:type="dcterms:W3CDTF">2024-09-24T18:58:00Z</dcterms:modified>
</cp:coreProperties>
</file>